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9D" w:rsidRPr="0078680D" w:rsidRDefault="00561DE0" w:rsidP="00561DE0">
      <w:pPr>
        <w:pStyle w:val="Title"/>
        <w:ind w:left="0"/>
      </w:pPr>
      <w:r>
        <w:t>People LInk meeting agenda</w:t>
      </w:r>
      <w:r w:rsidR="009F1644">
        <w:t xml:space="preserve"> 2020</w:t>
      </w:r>
    </w:p>
    <w:tbl>
      <w:tblPr>
        <w:tblStyle w:val="ContactList"/>
        <w:tblW w:w="5000" w:type="pct"/>
        <w:tblLayout w:type="fixed"/>
        <w:tblLook w:val="04A0" w:firstRow="1" w:lastRow="0" w:firstColumn="1" w:lastColumn="0" w:noHBand="0" w:noVBand="1"/>
        <w:tblDescription w:val="Players contact information table"/>
      </w:tblPr>
      <w:tblGrid>
        <w:gridCol w:w="990"/>
        <w:gridCol w:w="1440"/>
        <w:gridCol w:w="1351"/>
        <w:gridCol w:w="2520"/>
        <w:gridCol w:w="3960"/>
        <w:gridCol w:w="2428"/>
        <w:gridCol w:w="1711"/>
      </w:tblGrid>
      <w:tr w:rsidR="009F1644" w:rsidRPr="009F1644" w:rsidTr="009D5A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4" w:type="pct"/>
          </w:tcPr>
          <w:p w:rsidR="00F51EDB" w:rsidRPr="009F1644" w:rsidRDefault="00F51EDB" w:rsidP="00EF31DE">
            <w:pPr>
              <w:rPr>
                <w:color w:val="00B0F0"/>
                <w:sz w:val="18"/>
                <w:szCs w:val="18"/>
              </w:rPr>
            </w:pPr>
            <w:r w:rsidRPr="009F1644">
              <w:rPr>
                <w:color w:val="00B0F0"/>
                <w:sz w:val="18"/>
                <w:szCs w:val="18"/>
              </w:rPr>
              <w:t>MOnth</w:t>
            </w:r>
          </w:p>
        </w:tc>
        <w:tc>
          <w:tcPr>
            <w:tcW w:w="500" w:type="pct"/>
          </w:tcPr>
          <w:p w:rsidR="00F51EDB" w:rsidRPr="009F1644" w:rsidRDefault="00F51EDB" w:rsidP="00EF31DE">
            <w:pPr>
              <w:rPr>
                <w:color w:val="00B0F0"/>
                <w:sz w:val="18"/>
                <w:szCs w:val="18"/>
              </w:rPr>
            </w:pPr>
            <w:r w:rsidRPr="009F1644">
              <w:rPr>
                <w:color w:val="00B0F0"/>
                <w:sz w:val="18"/>
                <w:szCs w:val="18"/>
              </w:rPr>
              <w:t>Discharge Educations</w:t>
            </w:r>
          </w:p>
          <w:p w:rsidR="00F51EDB" w:rsidRPr="009F1644" w:rsidRDefault="00F51EDB" w:rsidP="00EF31DE">
            <w:pPr>
              <w:rPr>
                <w:color w:val="00B0F0"/>
                <w:sz w:val="18"/>
                <w:szCs w:val="18"/>
              </w:rPr>
            </w:pPr>
            <w:r w:rsidRPr="009F1644">
              <w:rPr>
                <w:color w:val="00B0F0"/>
                <w:sz w:val="18"/>
                <w:szCs w:val="18"/>
              </w:rPr>
              <w:t>(Goal 120)</w:t>
            </w:r>
          </w:p>
        </w:tc>
        <w:tc>
          <w:tcPr>
            <w:tcW w:w="469" w:type="pct"/>
          </w:tcPr>
          <w:p w:rsidR="00F51EDB" w:rsidRPr="009F1644" w:rsidRDefault="00F51EDB" w:rsidP="00EF31DE">
            <w:pPr>
              <w:rPr>
                <w:color w:val="00B0F0"/>
                <w:sz w:val="18"/>
                <w:szCs w:val="18"/>
              </w:rPr>
            </w:pPr>
            <w:r w:rsidRPr="009F1644">
              <w:rPr>
                <w:color w:val="00B0F0"/>
                <w:sz w:val="18"/>
                <w:szCs w:val="18"/>
              </w:rPr>
              <w:t xml:space="preserve">PHarmacy Complete Med rec Time (Goal 6.2) </w:t>
            </w:r>
          </w:p>
        </w:tc>
        <w:tc>
          <w:tcPr>
            <w:tcW w:w="875" w:type="pct"/>
          </w:tcPr>
          <w:p w:rsidR="00F51EDB" w:rsidRPr="009F1644" w:rsidRDefault="00A213F2" w:rsidP="00EF31DE">
            <w:pPr>
              <w:rPr>
                <w:color w:val="00B0F0"/>
                <w:sz w:val="18"/>
                <w:szCs w:val="18"/>
              </w:rPr>
            </w:pPr>
            <w:r w:rsidRPr="009F1644">
              <w:rPr>
                <w:color w:val="00B0F0"/>
                <w:sz w:val="18"/>
                <w:szCs w:val="18"/>
              </w:rPr>
              <w:t xml:space="preserve">Antibiotic </w:t>
            </w:r>
            <w:r w:rsidR="00F51EDB" w:rsidRPr="009F1644">
              <w:rPr>
                <w:color w:val="00B0F0"/>
                <w:sz w:val="18"/>
                <w:szCs w:val="18"/>
              </w:rPr>
              <w:t>Timeouts</w:t>
            </w:r>
          </w:p>
          <w:p w:rsidR="00F51EDB" w:rsidRPr="009F1644" w:rsidRDefault="00F51EDB" w:rsidP="00A966A1">
            <w:pPr>
              <w:rPr>
                <w:color w:val="00B0F0"/>
                <w:sz w:val="18"/>
                <w:szCs w:val="18"/>
              </w:rPr>
            </w:pPr>
            <w:r w:rsidRPr="009F1644">
              <w:rPr>
                <w:color w:val="00B0F0"/>
                <w:sz w:val="18"/>
                <w:szCs w:val="18"/>
              </w:rPr>
              <w:t># /</w:t>
            </w:r>
            <w:r w:rsidR="00A213F2" w:rsidRPr="009F1644">
              <w:rPr>
                <w:color w:val="00B0F0"/>
                <w:sz w:val="18"/>
                <w:szCs w:val="18"/>
              </w:rPr>
              <w:t>Anti-PSE</w:t>
            </w:r>
            <w:r w:rsidRPr="009F1644">
              <w:rPr>
                <w:color w:val="00B0F0"/>
                <w:sz w:val="18"/>
                <w:szCs w:val="18"/>
              </w:rPr>
              <w:t xml:space="preserve"> DOT</w:t>
            </w:r>
            <w:r w:rsidR="009F1644" w:rsidRPr="009F1644">
              <w:rPr>
                <w:color w:val="00B0F0"/>
                <w:sz w:val="18"/>
                <w:szCs w:val="18"/>
              </w:rPr>
              <w:t xml:space="preserve">/Unasyn </w:t>
            </w:r>
            <w:r w:rsidR="00A966A1">
              <w:rPr>
                <w:color w:val="00B0F0"/>
                <w:sz w:val="18"/>
                <w:szCs w:val="18"/>
              </w:rPr>
              <w:t xml:space="preserve">+ Anti-PSE </w:t>
            </w:r>
            <w:r w:rsidR="009F1644" w:rsidRPr="009F1644">
              <w:rPr>
                <w:color w:val="00B0F0"/>
                <w:sz w:val="18"/>
                <w:szCs w:val="18"/>
              </w:rPr>
              <w:t>in PNA</w:t>
            </w:r>
            <w:r w:rsidR="009F1644">
              <w:rPr>
                <w:color w:val="00B0F0"/>
                <w:sz w:val="18"/>
                <w:szCs w:val="18"/>
              </w:rPr>
              <w:t>*</w:t>
            </w:r>
          </w:p>
        </w:tc>
        <w:tc>
          <w:tcPr>
            <w:tcW w:w="1375" w:type="pct"/>
          </w:tcPr>
          <w:p w:rsidR="00F51EDB" w:rsidRPr="009F1644" w:rsidRDefault="00F51EDB" w:rsidP="00EF31DE">
            <w:pPr>
              <w:rPr>
                <w:color w:val="00B0F0"/>
                <w:sz w:val="18"/>
                <w:szCs w:val="18"/>
              </w:rPr>
            </w:pPr>
            <w:r w:rsidRPr="009F1644">
              <w:rPr>
                <w:color w:val="00B0F0"/>
                <w:sz w:val="18"/>
                <w:szCs w:val="18"/>
              </w:rPr>
              <w:t>Nursing inservices</w:t>
            </w:r>
          </w:p>
          <w:p w:rsidR="00F51EDB" w:rsidRPr="009F1644" w:rsidRDefault="00F51EDB" w:rsidP="00EF31DE">
            <w:pPr>
              <w:rPr>
                <w:color w:val="00B0F0"/>
                <w:sz w:val="18"/>
                <w:szCs w:val="18"/>
              </w:rPr>
            </w:pPr>
            <w:r w:rsidRPr="009F1644">
              <w:rPr>
                <w:color w:val="00B0F0"/>
                <w:sz w:val="18"/>
                <w:szCs w:val="18"/>
              </w:rPr>
              <w:t>(Goal is 2 for each pharmacist)</w:t>
            </w:r>
          </w:p>
        </w:tc>
        <w:tc>
          <w:tcPr>
            <w:tcW w:w="843" w:type="pct"/>
          </w:tcPr>
          <w:p w:rsidR="00F51EDB" w:rsidRPr="009F1644" w:rsidRDefault="00A213F2" w:rsidP="00EF31DE">
            <w:pPr>
              <w:rPr>
                <w:color w:val="00B0F0"/>
                <w:sz w:val="18"/>
                <w:szCs w:val="18"/>
              </w:rPr>
            </w:pPr>
            <w:r w:rsidRPr="009F1644">
              <w:rPr>
                <w:color w:val="00B0F0"/>
                <w:sz w:val="18"/>
                <w:szCs w:val="18"/>
              </w:rPr>
              <w:t>% patients understanding what to expect from new medication</w:t>
            </w:r>
            <w:r w:rsidR="009F1644" w:rsidRPr="009F1644">
              <w:rPr>
                <w:color w:val="00B0F0"/>
                <w:sz w:val="18"/>
                <w:szCs w:val="18"/>
              </w:rPr>
              <w:t xml:space="preserve"> (GOAL &gt;60)</w:t>
            </w:r>
          </w:p>
        </w:tc>
        <w:tc>
          <w:tcPr>
            <w:tcW w:w="594" w:type="pct"/>
          </w:tcPr>
          <w:p w:rsidR="00F51EDB" w:rsidRPr="009F1644" w:rsidRDefault="00F51EDB" w:rsidP="00EF31DE">
            <w:pPr>
              <w:rPr>
                <w:color w:val="00B0F0"/>
                <w:sz w:val="18"/>
                <w:szCs w:val="18"/>
              </w:rPr>
            </w:pPr>
            <w:r w:rsidRPr="009F1644">
              <w:rPr>
                <w:color w:val="00B0F0"/>
                <w:sz w:val="18"/>
                <w:szCs w:val="18"/>
              </w:rPr>
              <w:t>AvG. Consecutive Shifts (Goal 4)</w:t>
            </w:r>
          </w:p>
        </w:tc>
      </w:tr>
      <w:tr w:rsidR="009F1644" w:rsidRPr="009F1644" w:rsidTr="009D5ACE">
        <w:tc>
          <w:tcPr>
            <w:tcW w:w="344" w:type="pct"/>
          </w:tcPr>
          <w:p w:rsidR="009F1644" w:rsidRDefault="00F51EDB" w:rsidP="00EF31DE">
            <w:pPr>
              <w:rPr>
                <w:b/>
                <w:sz w:val="20"/>
                <w:szCs w:val="20"/>
              </w:rPr>
            </w:pPr>
            <w:r w:rsidRPr="009F1644">
              <w:rPr>
                <w:b/>
                <w:sz w:val="20"/>
                <w:szCs w:val="20"/>
              </w:rPr>
              <w:t>Base</w:t>
            </w:r>
            <w:r w:rsidR="009F1644">
              <w:rPr>
                <w:b/>
                <w:sz w:val="20"/>
                <w:szCs w:val="20"/>
              </w:rPr>
              <w:t>-</w:t>
            </w:r>
          </w:p>
          <w:p w:rsidR="00F51EDB" w:rsidRPr="009F1644" w:rsidRDefault="00F51EDB" w:rsidP="00EF31DE">
            <w:pPr>
              <w:rPr>
                <w:b/>
                <w:sz w:val="20"/>
                <w:szCs w:val="20"/>
              </w:rPr>
            </w:pPr>
            <w:r w:rsidRPr="009F1644">
              <w:rPr>
                <w:b/>
                <w:sz w:val="20"/>
                <w:szCs w:val="20"/>
              </w:rPr>
              <w:t>line</w:t>
            </w:r>
          </w:p>
        </w:tc>
        <w:tc>
          <w:tcPr>
            <w:tcW w:w="500" w:type="pct"/>
          </w:tcPr>
          <w:p w:rsidR="00F51EDB" w:rsidRPr="009F1644" w:rsidRDefault="00F51EDB" w:rsidP="00EF31DE">
            <w:pPr>
              <w:rPr>
                <w:b/>
                <w:sz w:val="20"/>
                <w:szCs w:val="20"/>
              </w:rPr>
            </w:pPr>
            <w:r w:rsidRPr="009F1644">
              <w:rPr>
                <w:b/>
                <w:sz w:val="20"/>
                <w:szCs w:val="20"/>
              </w:rPr>
              <w:t>~50</w:t>
            </w:r>
            <w:r w:rsidR="004444EC" w:rsidRPr="009F1644">
              <w:rPr>
                <w:b/>
                <w:sz w:val="20"/>
                <w:szCs w:val="20"/>
              </w:rPr>
              <w:t xml:space="preserve"> (2018)</w:t>
            </w:r>
          </w:p>
        </w:tc>
        <w:tc>
          <w:tcPr>
            <w:tcW w:w="469" w:type="pct"/>
          </w:tcPr>
          <w:p w:rsidR="004444EC" w:rsidRPr="009F1644" w:rsidRDefault="00F51EDB" w:rsidP="00EF31DE">
            <w:pPr>
              <w:rPr>
                <w:b/>
                <w:sz w:val="20"/>
                <w:szCs w:val="20"/>
              </w:rPr>
            </w:pPr>
            <w:r w:rsidRPr="009F1644">
              <w:rPr>
                <w:b/>
                <w:sz w:val="20"/>
                <w:szCs w:val="20"/>
              </w:rPr>
              <w:t>8.22</w:t>
            </w:r>
          </w:p>
          <w:p w:rsidR="00F51EDB" w:rsidRPr="009F1644" w:rsidRDefault="004444EC" w:rsidP="00EF31DE">
            <w:pPr>
              <w:rPr>
                <w:b/>
                <w:sz w:val="20"/>
                <w:szCs w:val="20"/>
              </w:rPr>
            </w:pPr>
            <w:r w:rsidRPr="009F1644">
              <w:rPr>
                <w:b/>
                <w:sz w:val="20"/>
                <w:szCs w:val="20"/>
              </w:rPr>
              <w:t>(2017)</w:t>
            </w:r>
          </w:p>
        </w:tc>
        <w:tc>
          <w:tcPr>
            <w:tcW w:w="875" w:type="pct"/>
          </w:tcPr>
          <w:p w:rsidR="00A966A1" w:rsidRDefault="00A213F2" w:rsidP="00EF31DE">
            <w:pPr>
              <w:rPr>
                <w:b/>
                <w:sz w:val="20"/>
                <w:szCs w:val="20"/>
              </w:rPr>
            </w:pPr>
            <w:r w:rsidRPr="009F1644">
              <w:rPr>
                <w:b/>
                <w:sz w:val="20"/>
                <w:szCs w:val="20"/>
              </w:rPr>
              <w:t>0/ 76.3</w:t>
            </w:r>
            <w:r w:rsidR="00A966A1">
              <w:rPr>
                <w:b/>
                <w:sz w:val="20"/>
                <w:szCs w:val="20"/>
              </w:rPr>
              <w:t>/48.3%</w:t>
            </w:r>
          </w:p>
          <w:p w:rsidR="00F51EDB" w:rsidRPr="009F1644" w:rsidRDefault="00A966A1" w:rsidP="00EF31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(2019</w:t>
            </w:r>
            <w:r w:rsidR="004444EC" w:rsidRPr="009F164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5" w:type="pct"/>
          </w:tcPr>
          <w:p w:rsidR="00F51EDB" w:rsidRPr="009F1644" w:rsidRDefault="00F51EDB" w:rsidP="00EF31DE">
            <w:pPr>
              <w:rPr>
                <w:b/>
                <w:sz w:val="20"/>
                <w:szCs w:val="20"/>
              </w:rPr>
            </w:pPr>
            <w:r w:rsidRPr="009F1644">
              <w:rPr>
                <w:b/>
                <w:sz w:val="20"/>
                <w:szCs w:val="20"/>
              </w:rPr>
              <w:t>0</w:t>
            </w:r>
            <w:r w:rsidR="004444EC" w:rsidRPr="009F1644">
              <w:rPr>
                <w:b/>
                <w:sz w:val="20"/>
                <w:szCs w:val="20"/>
              </w:rPr>
              <w:t xml:space="preserve"> (2017)</w:t>
            </w:r>
          </w:p>
        </w:tc>
        <w:tc>
          <w:tcPr>
            <w:tcW w:w="843" w:type="pct"/>
          </w:tcPr>
          <w:p w:rsidR="00F51EDB" w:rsidRPr="009F1644" w:rsidRDefault="009F1644" w:rsidP="004444EC">
            <w:pPr>
              <w:rPr>
                <w:b/>
                <w:sz w:val="20"/>
                <w:szCs w:val="20"/>
              </w:rPr>
            </w:pPr>
            <w:r w:rsidRPr="009F1644">
              <w:rPr>
                <w:b/>
                <w:sz w:val="20"/>
                <w:szCs w:val="20"/>
              </w:rPr>
              <w:t xml:space="preserve">2019 </w:t>
            </w:r>
            <w:proofErr w:type="spellStart"/>
            <w:r w:rsidRPr="009F1644">
              <w:rPr>
                <w:b/>
                <w:sz w:val="20"/>
                <w:szCs w:val="20"/>
              </w:rPr>
              <w:t>Avg</w:t>
            </w:r>
            <w:proofErr w:type="spellEnd"/>
            <w:r w:rsidRPr="009F1644">
              <w:rPr>
                <w:b/>
                <w:sz w:val="20"/>
                <w:szCs w:val="20"/>
              </w:rPr>
              <w:t xml:space="preserve"> (51.2)</w:t>
            </w:r>
          </w:p>
        </w:tc>
        <w:tc>
          <w:tcPr>
            <w:tcW w:w="594" w:type="pct"/>
          </w:tcPr>
          <w:p w:rsidR="00F51EDB" w:rsidRPr="009F1644" w:rsidRDefault="00F51EDB" w:rsidP="00EF31DE">
            <w:pPr>
              <w:rPr>
                <w:b/>
                <w:sz w:val="20"/>
                <w:szCs w:val="20"/>
              </w:rPr>
            </w:pPr>
            <w:r w:rsidRPr="009F1644">
              <w:rPr>
                <w:b/>
                <w:sz w:val="20"/>
                <w:szCs w:val="20"/>
              </w:rPr>
              <w:t>2.69</w:t>
            </w:r>
          </w:p>
        </w:tc>
      </w:tr>
      <w:tr w:rsidR="009F1644" w:rsidTr="009D5ACE">
        <w:trPr>
          <w:trHeight w:val="404"/>
        </w:trPr>
        <w:tc>
          <w:tcPr>
            <w:tcW w:w="344" w:type="pct"/>
          </w:tcPr>
          <w:p w:rsidR="00F51EDB" w:rsidRDefault="00F51EDB" w:rsidP="002D61AE">
            <w:r>
              <w:t xml:space="preserve">Jan. </w:t>
            </w:r>
          </w:p>
        </w:tc>
        <w:tc>
          <w:tcPr>
            <w:tcW w:w="500" w:type="pct"/>
          </w:tcPr>
          <w:p w:rsidR="009F1644" w:rsidRDefault="00A213F2" w:rsidP="002D61AE">
            <w:r>
              <w:t>95</w:t>
            </w:r>
          </w:p>
        </w:tc>
        <w:tc>
          <w:tcPr>
            <w:tcW w:w="469" w:type="pct"/>
          </w:tcPr>
          <w:p w:rsidR="00F51EDB" w:rsidRDefault="00A213F2" w:rsidP="002D61AE">
            <w:r>
              <w:t>6.52</w:t>
            </w:r>
          </w:p>
        </w:tc>
        <w:tc>
          <w:tcPr>
            <w:tcW w:w="875" w:type="pct"/>
          </w:tcPr>
          <w:p w:rsidR="00F51EDB" w:rsidRDefault="00A966A1" w:rsidP="002D61AE">
            <w:r>
              <w:t>88/</w:t>
            </w:r>
            <w:r w:rsidR="00A213F2">
              <w:t>72.4</w:t>
            </w:r>
            <w:r>
              <w:t>/29%</w:t>
            </w:r>
          </w:p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/>
        </w:tc>
        <w:tc>
          <w:tcPr>
            <w:tcW w:w="594" w:type="pct"/>
          </w:tcPr>
          <w:p w:rsidR="00F51EDB" w:rsidRDefault="00A966A1" w:rsidP="002D61AE">
            <w:r>
              <w:t>3.77</w:t>
            </w:r>
          </w:p>
        </w:tc>
      </w:tr>
      <w:tr w:rsidR="009F1644" w:rsidTr="009D5ACE">
        <w:trPr>
          <w:trHeight w:val="431"/>
        </w:trPr>
        <w:tc>
          <w:tcPr>
            <w:tcW w:w="344" w:type="pct"/>
          </w:tcPr>
          <w:p w:rsidR="00F51EDB" w:rsidRDefault="00F51EDB" w:rsidP="002D61AE">
            <w:r>
              <w:t xml:space="preserve">Feb. </w:t>
            </w:r>
          </w:p>
        </w:tc>
        <w:tc>
          <w:tcPr>
            <w:tcW w:w="500" w:type="pct"/>
          </w:tcPr>
          <w:p w:rsidR="009F1644" w:rsidRDefault="009F1644" w:rsidP="002D61AE"/>
        </w:tc>
        <w:tc>
          <w:tcPr>
            <w:tcW w:w="469" w:type="pct"/>
          </w:tcPr>
          <w:p w:rsidR="00F51EDB" w:rsidRDefault="00F51EDB" w:rsidP="002D61AE"/>
        </w:tc>
        <w:tc>
          <w:tcPr>
            <w:tcW w:w="875" w:type="pct"/>
          </w:tcPr>
          <w:p w:rsidR="00F51EDB" w:rsidRDefault="00F51EDB" w:rsidP="002D61AE"/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/>
        </w:tc>
        <w:tc>
          <w:tcPr>
            <w:tcW w:w="594" w:type="pct"/>
          </w:tcPr>
          <w:p w:rsidR="00F51EDB" w:rsidRDefault="00F51EDB" w:rsidP="002D61AE"/>
        </w:tc>
      </w:tr>
      <w:tr w:rsidR="009F1644" w:rsidTr="009D5ACE">
        <w:trPr>
          <w:trHeight w:val="449"/>
        </w:trPr>
        <w:tc>
          <w:tcPr>
            <w:tcW w:w="344" w:type="pct"/>
          </w:tcPr>
          <w:p w:rsidR="00F51EDB" w:rsidRDefault="00F51EDB" w:rsidP="002D61AE">
            <w:r>
              <w:t>March</w:t>
            </w:r>
          </w:p>
        </w:tc>
        <w:tc>
          <w:tcPr>
            <w:tcW w:w="500" w:type="pct"/>
          </w:tcPr>
          <w:p w:rsidR="009F1644" w:rsidRDefault="009F1644" w:rsidP="002D61AE"/>
        </w:tc>
        <w:tc>
          <w:tcPr>
            <w:tcW w:w="469" w:type="pct"/>
          </w:tcPr>
          <w:p w:rsidR="00F51EDB" w:rsidRDefault="00F51EDB" w:rsidP="002D61AE"/>
        </w:tc>
        <w:tc>
          <w:tcPr>
            <w:tcW w:w="875" w:type="pct"/>
          </w:tcPr>
          <w:p w:rsidR="00F51EDB" w:rsidRDefault="00F51EDB" w:rsidP="002D61AE"/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/>
        </w:tc>
        <w:tc>
          <w:tcPr>
            <w:tcW w:w="594" w:type="pct"/>
          </w:tcPr>
          <w:p w:rsidR="00F51EDB" w:rsidRDefault="00A966A1" w:rsidP="002D61AE">
            <w:r>
              <w:t>3.8</w:t>
            </w:r>
          </w:p>
        </w:tc>
      </w:tr>
      <w:tr w:rsidR="009F1644" w:rsidTr="009D5ACE">
        <w:trPr>
          <w:trHeight w:val="431"/>
        </w:trPr>
        <w:tc>
          <w:tcPr>
            <w:tcW w:w="344" w:type="pct"/>
          </w:tcPr>
          <w:p w:rsidR="00F51EDB" w:rsidRDefault="00F51EDB" w:rsidP="002D61AE">
            <w:r>
              <w:t>Apr.</w:t>
            </w:r>
          </w:p>
        </w:tc>
        <w:tc>
          <w:tcPr>
            <w:tcW w:w="500" w:type="pct"/>
          </w:tcPr>
          <w:p w:rsidR="009F1644" w:rsidRDefault="009F1644" w:rsidP="002D61AE"/>
        </w:tc>
        <w:tc>
          <w:tcPr>
            <w:tcW w:w="469" w:type="pct"/>
          </w:tcPr>
          <w:p w:rsidR="00F51EDB" w:rsidRDefault="00F51EDB" w:rsidP="002D61AE"/>
        </w:tc>
        <w:tc>
          <w:tcPr>
            <w:tcW w:w="875" w:type="pct"/>
          </w:tcPr>
          <w:p w:rsidR="00F51EDB" w:rsidRDefault="00F51EDB" w:rsidP="002D61AE"/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/>
        </w:tc>
        <w:tc>
          <w:tcPr>
            <w:tcW w:w="594" w:type="pct"/>
          </w:tcPr>
          <w:p w:rsidR="00F51EDB" w:rsidRDefault="00F51EDB" w:rsidP="002D61AE"/>
        </w:tc>
      </w:tr>
      <w:tr w:rsidR="009F1644" w:rsidTr="009D5ACE">
        <w:trPr>
          <w:trHeight w:val="449"/>
        </w:trPr>
        <w:tc>
          <w:tcPr>
            <w:tcW w:w="344" w:type="pct"/>
          </w:tcPr>
          <w:p w:rsidR="00F51EDB" w:rsidRDefault="00F51EDB" w:rsidP="002D61AE">
            <w:r>
              <w:t xml:space="preserve">May </w:t>
            </w:r>
          </w:p>
        </w:tc>
        <w:tc>
          <w:tcPr>
            <w:tcW w:w="500" w:type="pct"/>
          </w:tcPr>
          <w:p w:rsidR="009F1644" w:rsidRDefault="009F1644" w:rsidP="002D61AE"/>
        </w:tc>
        <w:tc>
          <w:tcPr>
            <w:tcW w:w="469" w:type="pct"/>
          </w:tcPr>
          <w:p w:rsidR="00F51EDB" w:rsidRDefault="00F51EDB" w:rsidP="002D61AE"/>
        </w:tc>
        <w:tc>
          <w:tcPr>
            <w:tcW w:w="875" w:type="pct"/>
          </w:tcPr>
          <w:p w:rsidR="00F51EDB" w:rsidRDefault="00F51EDB" w:rsidP="002D61AE"/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/>
        </w:tc>
        <w:tc>
          <w:tcPr>
            <w:tcW w:w="594" w:type="pct"/>
            <w:vMerge w:val="restart"/>
          </w:tcPr>
          <w:p w:rsidR="00F51EDB" w:rsidRDefault="00F51EDB" w:rsidP="002D61AE"/>
        </w:tc>
      </w:tr>
      <w:tr w:rsidR="009F1644" w:rsidTr="009D5ACE">
        <w:trPr>
          <w:trHeight w:val="431"/>
        </w:trPr>
        <w:tc>
          <w:tcPr>
            <w:tcW w:w="344" w:type="pct"/>
          </w:tcPr>
          <w:p w:rsidR="00F51EDB" w:rsidRDefault="00F51EDB" w:rsidP="002D61AE">
            <w:r>
              <w:t>June</w:t>
            </w:r>
          </w:p>
        </w:tc>
        <w:tc>
          <w:tcPr>
            <w:tcW w:w="500" w:type="pct"/>
          </w:tcPr>
          <w:p w:rsidR="00F51EDB" w:rsidRDefault="00F51EDB" w:rsidP="002D61AE"/>
        </w:tc>
        <w:tc>
          <w:tcPr>
            <w:tcW w:w="469" w:type="pct"/>
          </w:tcPr>
          <w:p w:rsidR="00F51EDB" w:rsidRDefault="00F51EDB" w:rsidP="002D61AE"/>
        </w:tc>
        <w:tc>
          <w:tcPr>
            <w:tcW w:w="875" w:type="pct"/>
          </w:tcPr>
          <w:p w:rsidR="00F51EDB" w:rsidRDefault="00F51EDB" w:rsidP="002D61AE"/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/>
        </w:tc>
        <w:tc>
          <w:tcPr>
            <w:tcW w:w="594" w:type="pct"/>
            <w:vMerge/>
          </w:tcPr>
          <w:p w:rsidR="00F51EDB" w:rsidRDefault="00F51EDB" w:rsidP="002D61AE"/>
        </w:tc>
      </w:tr>
      <w:tr w:rsidR="009F1644" w:rsidTr="009D5ACE">
        <w:trPr>
          <w:trHeight w:val="449"/>
        </w:trPr>
        <w:tc>
          <w:tcPr>
            <w:tcW w:w="344" w:type="pct"/>
          </w:tcPr>
          <w:p w:rsidR="00F51EDB" w:rsidRDefault="00F51EDB" w:rsidP="002D61AE">
            <w:r>
              <w:t>July</w:t>
            </w:r>
          </w:p>
        </w:tc>
        <w:tc>
          <w:tcPr>
            <w:tcW w:w="500" w:type="pct"/>
          </w:tcPr>
          <w:p w:rsidR="00F51EDB" w:rsidRDefault="00F51EDB" w:rsidP="002D61AE"/>
        </w:tc>
        <w:tc>
          <w:tcPr>
            <w:tcW w:w="469" w:type="pct"/>
          </w:tcPr>
          <w:p w:rsidR="00F51EDB" w:rsidRDefault="00F51EDB" w:rsidP="002D61AE"/>
        </w:tc>
        <w:tc>
          <w:tcPr>
            <w:tcW w:w="875" w:type="pct"/>
          </w:tcPr>
          <w:p w:rsidR="00F51EDB" w:rsidRDefault="00F51EDB" w:rsidP="002D61AE"/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/>
        </w:tc>
        <w:tc>
          <w:tcPr>
            <w:tcW w:w="594" w:type="pct"/>
            <w:vMerge w:val="restart"/>
          </w:tcPr>
          <w:p w:rsidR="00F51EDB" w:rsidRDefault="00F51EDB" w:rsidP="002D61AE"/>
        </w:tc>
      </w:tr>
      <w:tr w:rsidR="009F1644" w:rsidTr="009D5ACE">
        <w:trPr>
          <w:trHeight w:val="431"/>
        </w:trPr>
        <w:tc>
          <w:tcPr>
            <w:tcW w:w="344" w:type="pct"/>
          </w:tcPr>
          <w:p w:rsidR="00F51EDB" w:rsidRDefault="00F51EDB" w:rsidP="002D61AE">
            <w:r>
              <w:t>Aug.</w:t>
            </w:r>
          </w:p>
        </w:tc>
        <w:tc>
          <w:tcPr>
            <w:tcW w:w="500" w:type="pct"/>
          </w:tcPr>
          <w:p w:rsidR="00F51EDB" w:rsidRDefault="00F51EDB" w:rsidP="002D61AE"/>
        </w:tc>
        <w:tc>
          <w:tcPr>
            <w:tcW w:w="469" w:type="pct"/>
          </w:tcPr>
          <w:p w:rsidR="00F51EDB" w:rsidRDefault="00F51EDB" w:rsidP="002D61AE"/>
        </w:tc>
        <w:tc>
          <w:tcPr>
            <w:tcW w:w="875" w:type="pct"/>
          </w:tcPr>
          <w:p w:rsidR="00F51EDB" w:rsidRDefault="00F51EDB" w:rsidP="002D61AE"/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>
            <w:bookmarkStart w:id="0" w:name="_GoBack"/>
            <w:bookmarkEnd w:id="0"/>
          </w:p>
        </w:tc>
        <w:tc>
          <w:tcPr>
            <w:tcW w:w="594" w:type="pct"/>
            <w:vMerge/>
          </w:tcPr>
          <w:p w:rsidR="00F51EDB" w:rsidRDefault="00F51EDB" w:rsidP="002D61AE"/>
        </w:tc>
      </w:tr>
      <w:tr w:rsidR="009F1644" w:rsidTr="009D5ACE">
        <w:trPr>
          <w:trHeight w:val="449"/>
        </w:trPr>
        <w:tc>
          <w:tcPr>
            <w:tcW w:w="344" w:type="pct"/>
          </w:tcPr>
          <w:p w:rsidR="00F51EDB" w:rsidRDefault="00F51EDB" w:rsidP="002D61AE">
            <w:r>
              <w:t>Sept.</w:t>
            </w:r>
          </w:p>
        </w:tc>
        <w:tc>
          <w:tcPr>
            <w:tcW w:w="500" w:type="pct"/>
          </w:tcPr>
          <w:p w:rsidR="00F51EDB" w:rsidRDefault="00F51EDB" w:rsidP="002D61AE"/>
        </w:tc>
        <w:tc>
          <w:tcPr>
            <w:tcW w:w="469" w:type="pct"/>
          </w:tcPr>
          <w:p w:rsidR="00F51EDB" w:rsidRDefault="00F51EDB" w:rsidP="002D61AE"/>
        </w:tc>
        <w:tc>
          <w:tcPr>
            <w:tcW w:w="875" w:type="pct"/>
          </w:tcPr>
          <w:p w:rsidR="00F51EDB" w:rsidRDefault="00F51EDB" w:rsidP="002D61AE"/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/>
        </w:tc>
        <w:tc>
          <w:tcPr>
            <w:tcW w:w="594" w:type="pct"/>
          </w:tcPr>
          <w:p w:rsidR="00F51EDB" w:rsidRDefault="00F51EDB" w:rsidP="002D61AE"/>
        </w:tc>
      </w:tr>
      <w:tr w:rsidR="009F1644" w:rsidTr="009D5ACE">
        <w:trPr>
          <w:trHeight w:val="431"/>
        </w:trPr>
        <w:tc>
          <w:tcPr>
            <w:tcW w:w="344" w:type="pct"/>
          </w:tcPr>
          <w:p w:rsidR="00F51EDB" w:rsidRDefault="00F51EDB" w:rsidP="002D61AE">
            <w:r>
              <w:t>Oct.</w:t>
            </w:r>
          </w:p>
        </w:tc>
        <w:tc>
          <w:tcPr>
            <w:tcW w:w="500" w:type="pct"/>
          </w:tcPr>
          <w:p w:rsidR="00F51EDB" w:rsidRDefault="00F51EDB" w:rsidP="002D61AE"/>
        </w:tc>
        <w:tc>
          <w:tcPr>
            <w:tcW w:w="469" w:type="pct"/>
          </w:tcPr>
          <w:p w:rsidR="00F51EDB" w:rsidRDefault="00F51EDB" w:rsidP="002D61AE"/>
        </w:tc>
        <w:tc>
          <w:tcPr>
            <w:tcW w:w="875" w:type="pct"/>
          </w:tcPr>
          <w:p w:rsidR="00F51EDB" w:rsidRDefault="00F51EDB" w:rsidP="002D61AE"/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/>
        </w:tc>
        <w:tc>
          <w:tcPr>
            <w:tcW w:w="594" w:type="pct"/>
          </w:tcPr>
          <w:p w:rsidR="00F51EDB" w:rsidRDefault="00F51EDB" w:rsidP="002D61AE"/>
        </w:tc>
      </w:tr>
      <w:tr w:rsidR="009F1644" w:rsidTr="009D5ACE">
        <w:trPr>
          <w:trHeight w:val="449"/>
        </w:trPr>
        <w:tc>
          <w:tcPr>
            <w:tcW w:w="344" w:type="pct"/>
          </w:tcPr>
          <w:p w:rsidR="00F51EDB" w:rsidRDefault="00F51EDB" w:rsidP="002D61AE">
            <w:r>
              <w:t>Nov.</w:t>
            </w:r>
          </w:p>
        </w:tc>
        <w:tc>
          <w:tcPr>
            <w:tcW w:w="500" w:type="pct"/>
          </w:tcPr>
          <w:p w:rsidR="00F51EDB" w:rsidRDefault="00F51EDB" w:rsidP="002D61AE"/>
        </w:tc>
        <w:tc>
          <w:tcPr>
            <w:tcW w:w="469" w:type="pct"/>
          </w:tcPr>
          <w:p w:rsidR="00F51EDB" w:rsidRDefault="00F51EDB" w:rsidP="002D61AE"/>
        </w:tc>
        <w:tc>
          <w:tcPr>
            <w:tcW w:w="875" w:type="pct"/>
          </w:tcPr>
          <w:p w:rsidR="00F51EDB" w:rsidRDefault="00F51EDB" w:rsidP="002D61AE"/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/>
        </w:tc>
        <w:tc>
          <w:tcPr>
            <w:tcW w:w="594" w:type="pct"/>
          </w:tcPr>
          <w:p w:rsidR="00F51EDB" w:rsidRDefault="00F51EDB" w:rsidP="002D61AE"/>
        </w:tc>
      </w:tr>
      <w:tr w:rsidR="009F1644" w:rsidTr="009D5ACE">
        <w:trPr>
          <w:trHeight w:val="386"/>
        </w:trPr>
        <w:tc>
          <w:tcPr>
            <w:tcW w:w="344" w:type="pct"/>
          </w:tcPr>
          <w:p w:rsidR="00F51EDB" w:rsidRDefault="00F51EDB" w:rsidP="002D61AE">
            <w:r>
              <w:t>Dec.</w:t>
            </w:r>
          </w:p>
        </w:tc>
        <w:tc>
          <w:tcPr>
            <w:tcW w:w="500" w:type="pct"/>
          </w:tcPr>
          <w:p w:rsidR="00F51EDB" w:rsidRDefault="00F51EDB" w:rsidP="002D61AE"/>
        </w:tc>
        <w:tc>
          <w:tcPr>
            <w:tcW w:w="469" w:type="pct"/>
          </w:tcPr>
          <w:p w:rsidR="00F51EDB" w:rsidRDefault="00F51EDB" w:rsidP="002D61AE"/>
        </w:tc>
        <w:tc>
          <w:tcPr>
            <w:tcW w:w="875" w:type="pct"/>
          </w:tcPr>
          <w:p w:rsidR="00F51EDB" w:rsidRDefault="00F51EDB" w:rsidP="002D61AE"/>
        </w:tc>
        <w:tc>
          <w:tcPr>
            <w:tcW w:w="1375" w:type="pct"/>
          </w:tcPr>
          <w:p w:rsidR="00F51EDB" w:rsidRDefault="00F51EDB" w:rsidP="002D61AE"/>
        </w:tc>
        <w:tc>
          <w:tcPr>
            <w:tcW w:w="843" w:type="pct"/>
          </w:tcPr>
          <w:p w:rsidR="00F51EDB" w:rsidRDefault="00F51EDB" w:rsidP="002D61AE"/>
        </w:tc>
        <w:tc>
          <w:tcPr>
            <w:tcW w:w="594" w:type="pct"/>
          </w:tcPr>
          <w:p w:rsidR="00F51EDB" w:rsidRDefault="00F51EDB" w:rsidP="002D61AE"/>
        </w:tc>
      </w:tr>
    </w:tbl>
    <w:p w:rsidR="00A2043A" w:rsidRDefault="009F1644" w:rsidP="009F1644">
      <w:r>
        <w:t xml:space="preserve">*To calculate add </w:t>
      </w:r>
      <w:proofErr w:type="spellStart"/>
      <w:r>
        <w:t>zosyn</w:t>
      </w:r>
      <w:proofErr w:type="spellEnd"/>
      <w:r w:rsidR="00A966A1">
        <w:t xml:space="preserve">, </w:t>
      </w:r>
      <w:proofErr w:type="spellStart"/>
      <w:r w:rsidR="00A966A1">
        <w:t>cefepime</w:t>
      </w:r>
      <w:proofErr w:type="spellEnd"/>
      <w:r w:rsidR="00A966A1">
        <w:t xml:space="preserve">, </w:t>
      </w:r>
      <w:proofErr w:type="spellStart"/>
      <w:r w:rsidR="00A966A1">
        <w:t>meropenem</w:t>
      </w:r>
      <w:proofErr w:type="spellEnd"/>
      <w:r>
        <w:t xml:space="preserve"> + </w:t>
      </w:r>
      <w:proofErr w:type="spellStart"/>
      <w:r>
        <w:t>unasyn</w:t>
      </w:r>
      <w:proofErr w:type="spellEnd"/>
      <w:r>
        <w:t xml:space="preserve"> DOT in PNA/Total PNA days of therapy</w:t>
      </w:r>
      <w:r w:rsidR="00A966A1">
        <w:t xml:space="preserve">. Baseline is Dec. 2019 for this metric. </w:t>
      </w:r>
    </w:p>
    <w:sectPr w:rsidR="00A2043A" w:rsidSect="009D5ACE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720" w:right="720" w:bottom="720" w:left="720" w:header="936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E0" w:rsidRDefault="00561DE0">
      <w:r>
        <w:separator/>
      </w:r>
    </w:p>
    <w:p w:rsidR="00561DE0" w:rsidRDefault="00561DE0"/>
  </w:endnote>
  <w:endnote w:type="continuationSeparator" w:id="0">
    <w:p w:rsidR="00561DE0" w:rsidRDefault="00561DE0">
      <w:r>
        <w:continuationSeparator/>
      </w:r>
    </w:p>
    <w:p w:rsidR="00561DE0" w:rsidRDefault="00561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AEA" w:rsidRDefault="00B83AEA" w:rsidP="00EF31DE">
    <w:pPr>
      <w:pStyle w:val="Footer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39" w:rsidRDefault="002E0E39">
    <w:pPr>
      <w:pStyle w:val="Footer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margin">
                <wp:posOffset>0</wp:posOffset>
              </wp:positionH>
              <mc:AlternateContent>
                <mc:Choice Requires="wp14">
                  <wp:positionV relativeFrom="page">
                    <wp14:pctPosVOffset>88900</wp14:pctPosVOffset>
                  </wp:positionV>
                </mc:Choice>
                <mc:Fallback>
                  <wp:positionV relativeFrom="page">
                    <wp:posOffset>6909435</wp:posOffset>
                  </wp:positionV>
                </mc:Fallback>
              </mc:AlternateContent>
              <wp:extent cx="8869680" cy="265176"/>
              <wp:effectExtent l="0" t="0" r="7620" b="1905"/>
              <wp:wrapNone/>
              <wp:docPr id="1" name="Rectangle 1" descr="First page footer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69680" cy="265176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95E56D" id="Rectangle 1" o:spid="_x0000_s1026" alt="First page footer rectangle" style="position:absolute;margin-left:0;margin-top:0;width:698.4pt;height:20.9pt;z-index:251658240;visibility:visible;mso-wrap-style:square;mso-width-percent:1000;mso-height-percent:0;mso-top-percent:889;mso-wrap-distance-left:9pt;mso-wrap-distance-top:0;mso-wrap-distance-right:9pt;mso-wrap-distance-bottom:0;mso-position-horizontal:absolute;mso-position-horizontal-relative:margin;mso-position-vertical-relative:page;mso-width-percent:1000;mso-height-percent:0;mso-top-percent:889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" fillcolor="black [3213]" stroked="f" strokeweight="1pt">
              <w10:wrap anchorx="margin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E0" w:rsidRDefault="00561DE0">
      <w:r>
        <w:separator/>
      </w:r>
    </w:p>
    <w:p w:rsidR="00561DE0" w:rsidRDefault="00561DE0"/>
  </w:footnote>
  <w:footnote w:type="continuationSeparator" w:id="0">
    <w:p w:rsidR="00561DE0" w:rsidRDefault="00561DE0">
      <w:r>
        <w:continuationSeparator/>
      </w:r>
    </w:p>
    <w:p w:rsidR="00561DE0" w:rsidRDefault="00561D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DE" w:rsidRPr="00EF31DE" w:rsidRDefault="00EF31DE" w:rsidP="00EF31DE">
    <w:pPr>
      <w:pStyle w:val="Header"/>
      <w:tabs>
        <w:tab w:val="left" w:pos="2936"/>
      </w:tabs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43A" w:rsidRPr="00EF31DE" w:rsidRDefault="00561DE0" w:rsidP="00561DE0">
    <w:pPr>
      <w:pStyle w:val="Header"/>
      <w:ind w:left="0"/>
      <w:rPr>
        <w:sz w:val="36"/>
        <w:szCs w:val="36"/>
      </w:rPr>
    </w:pPr>
    <w:r w:rsidRPr="00EF31DE">
      <w:rPr>
        <w:rFonts w:ascii="Arial" w:hAnsi="Arial" w:cs="Arial"/>
        <w:noProof/>
        <w:color w:val="333333"/>
        <w:sz w:val="52"/>
        <w:szCs w:val="52"/>
        <w:lang w:eastAsia="en-US"/>
      </w:rPr>
      <w:drawing>
        <wp:anchor distT="0" distB="0" distL="114300" distR="114300" simplePos="0" relativeHeight="251660288" behindDoc="0" locked="0" layoutInCell="1" allowOverlap="1" wp14:anchorId="327E3FA4" wp14:editId="305C324C">
          <wp:simplePos x="0" y="0"/>
          <wp:positionH relativeFrom="margin">
            <wp:posOffset>7096125</wp:posOffset>
          </wp:positionH>
          <wp:positionV relativeFrom="margin">
            <wp:posOffset>-1021080</wp:posOffset>
          </wp:positionV>
          <wp:extent cx="1828800" cy="914400"/>
          <wp:effectExtent l="0" t="0" r="0" b="0"/>
          <wp:wrapSquare wrapText="bothSides"/>
          <wp:docPr id="31" name="Picture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Style w:val="Strong"/>
          <w:color w:val="00B0F0"/>
          <w:sz w:val="52"/>
          <w:szCs w:val="52"/>
        </w:rPr>
        <w:alias w:val="Enter your team's name:"/>
        <w:tag w:val="Enter your team's name:"/>
        <w:id w:val="-446924854"/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>
        <w:rPr>
          <w:rStyle w:val="DefaultParagraphFont"/>
          <w:b w:val="0"/>
          <w:bCs w:val="0"/>
        </w:rPr>
      </w:sdtEndPr>
      <w:sdtContent>
        <w:r w:rsidRPr="00EF31DE">
          <w:rPr>
            <w:rStyle w:val="Strong"/>
            <w:color w:val="00B0F0"/>
            <w:sz w:val="52"/>
            <w:szCs w:val="52"/>
          </w:rPr>
          <w:t>Clinical Pharmacy and Med Rec:</w:t>
        </w:r>
      </w:sdtContent>
    </w:sdt>
    <w:r w:rsidR="00A2043A" w:rsidRPr="00EF31DE">
      <w:rPr>
        <w:sz w:val="52"/>
        <w:szCs w:val="52"/>
      </w:rPr>
      <w:t xml:space="preserve"> </w:t>
    </w:r>
    <w:r w:rsidRPr="00EF31DE">
      <w:rPr>
        <w:sz w:val="36"/>
        <w:szCs w:val="36"/>
      </w:rPr>
      <w:t>Key Performance Indicators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42353"/>
    <w:multiLevelType w:val="hybridMultilevel"/>
    <w:tmpl w:val="342A9106"/>
    <w:lvl w:ilvl="0" w:tplc="B406F31C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E0"/>
    <w:rsid w:val="00024231"/>
    <w:rsid w:val="000504C3"/>
    <w:rsid w:val="00060923"/>
    <w:rsid w:val="001101BB"/>
    <w:rsid w:val="00146137"/>
    <w:rsid w:val="001C4C33"/>
    <w:rsid w:val="002810ED"/>
    <w:rsid w:val="002C3910"/>
    <w:rsid w:val="002D61AE"/>
    <w:rsid w:val="002E0E39"/>
    <w:rsid w:val="00353AB8"/>
    <w:rsid w:val="00383C4C"/>
    <w:rsid w:val="003E35AB"/>
    <w:rsid w:val="004444EC"/>
    <w:rsid w:val="004526AC"/>
    <w:rsid w:val="0045369D"/>
    <w:rsid w:val="004915E4"/>
    <w:rsid w:val="00500A02"/>
    <w:rsid w:val="00561DE0"/>
    <w:rsid w:val="006823BF"/>
    <w:rsid w:val="006D4509"/>
    <w:rsid w:val="006D74C7"/>
    <w:rsid w:val="006E772E"/>
    <w:rsid w:val="006F0605"/>
    <w:rsid w:val="00784608"/>
    <w:rsid w:val="0078680D"/>
    <w:rsid w:val="00796581"/>
    <w:rsid w:val="007B1F70"/>
    <w:rsid w:val="00885DAB"/>
    <w:rsid w:val="008B4382"/>
    <w:rsid w:val="008C758B"/>
    <w:rsid w:val="008F3904"/>
    <w:rsid w:val="0091320D"/>
    <w:rsid w:val="0097320F"/>
    <w:rsid w:val="009D5ACE"/>
    <w:rsid w:val="009D7550"/>
    <w:rsid w:val="009F144A"/>
    <w:rsid w:val="009F1644"/>
    <w:rsid w:val="00A2043A"/>
    <w:rsid w:val="00A213F2"/>
    <w:rsid w:val="00A269F5"/>
    <w:rsid w:val="00A966A1"/>
    <w:rsid w:val="00B82067"/>
    <w:rsid w:val="00B83AEA"/>
    <w:rsid w:val="00BA19A7"/>
    <w:rsid w:val="00D031EE"/>
    <w:rsid w:val="00D126B3"/>
    <w:rsid w:val="00D46169"/>
    <w:rsid w:val="00DF2A38"/>
    <w:rsid w:val="00E16C2C"/>
    <w:rsid w:val="00E44BA4"/>
    <w:rsid w:val="00E45C8A"/>
    <w:rsid w:val="00ED37BF"/>
    <w:rsid w:val="00EF0288"/>
    <w:rsid w:val="00EF31DE"/>
    <w:rsid w:val="00F43754"/>
    <w:rsid w:val="00F51EDB"/>
    <w:rsid w:val="00F60414"/>
    <w:rsid w:val="00F77251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65992522-4198-4F3A-ADA2-71CCDF92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2"/>
        <w:szCs w:val="22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43A"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89A1F" w:themeColor="accent2" w:themeShade="BF"/>
      <w:sz w:val="32"/>
    </w:rPr>
  </w:style>
  <w:style w:type="paragraph" w:styleId="Heading2">
    <w:name w:val="heading 2"/>
    <w:basedOn w:val="Normal"/>
    <w:next w:val="Normal"/>
    <w:link w:val="Heading2Char"/>
    <w:uiPriority w:val="4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789A1F" w:themeColor="accent2" w:themeShade="B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1"/>
    <w:qFormat/>
    <w:rPr>
      <w:b/>
      <w:bCs/>
      <w:color w:val="A1CF2A" w:themeColor="accent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ntactList">
    <w:name w:val="Contact List"/>
    <w:basedOn w:val="TableNormal"/>
    <w:uiPriority w:val="99"/>
    <w:rsid w:val="00146137"/>
    <w:pPr>
      <w:spacing w:before="20" w:after="40"/>
    </w:pPr>
    <w:tblPr>
      <w:tblBorders>
        <w:top w:val="double" w:sz="6" w:space="0" w:color="BFBFBF" w:themeColor="background1" w:themeShade="BF"/>
        <w:bottom w:val="double" w:sz="6" w:space="0" w:color="BFBFBF" w:themeColor="background1" w:themeShade="BF"/>
        <w:insideH w:val="single" w:sz="4" w:space="0" w:color="BFBFBF" w:themeColor="background1" w:themeShade="BF"/>
        <w:insideV w:val="single" w:sz="6" w:space="0" w:color="BFBFBF" w:themeColor="background1" w:themeShade="BF"/>
      </w:tblBorders>
      <w:tblCellMar>
        <w:left w:w="144" w:type="dxa"/>
        <w:right w:w="58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b/>
        <w:i w:val="0"/>
        <w:caps/>
        <w:smallCaps w:val="0"/>
        <w:color w:val="506715" w:themeColor="accent2" w:themeShade="80"/>
      </w:rPr>
      <w:tblPr/>
      <w:trPr>
        <w:tblHeader/>
      </w:trPr>
      <w:tcPr>
        <w:tcBorders>
          <w:top w:val="double" w:sz="6" w:space="0" w:color="BFBFBF" w:themeColor="background1" w:themeShade="BF"/>
          <w:left w:val="nil"/>
          <w:bottom w:val="double" w:sz="6" w:space="0" w:color="BFBFBF" w:themeColor="background1" w:themeShade="BF"/>
          <w:right w:val="nil"/>
          <w:insideH w:val="nil"/>
          <w:insideV w:val="single" w:sz="6" w:space="0" w:color="BFBFBF" w:themeColor="background1" w:themeShade="BF"/>
          <w:tl2br w:val="nil"/>
          <w:tr2bl w:val="nil"/>
        </w:tcBorders>
        <w:vAlign w:val="bottom"/>
      </w:tcPr>
    </w:tblStylePr>
  </w:style>
  <w:style w:type="character" w:customStyle="1" w:styleId="Heading1Char">
    <w:name w:val="Heading 1 Char"/>
    <w:basedOn w:val="DefaultParagraphFont"/>
    <w:link w:val="Heading1"/>
    <w:uiPriority w:val="4"/>
    <w:rsid w:val="00500A02"/>
    <w:rPr>
      <w:rFonts w:asciiTheme="majorHAnsi" w:eastAsiaTheme="majorEastAsia" w:hAnsiTheme="majorHAnsi" w:cstheme="majorBidi"/>
      <w:color w:val="789A1F" w:themeColor="accent2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4"/>
    <w:semiHidden/>
    <w:rsid w:val="00500A02"/>
    <w:rPr>
      <w:rFonts w:asciiTheme="majorHAnsi" w:eastAsiaTheme="majorEastAsia" w:hAnsiTheme="majorHAnsi" w:cstheme="majorBidi"/>
      <w:color w:val="789A1F" w:themeColor="accent2" w:themeShade="BF"/>
      <w:sz w:val="26"/>
    </w:rPr>
  </w:style>
  <w:style w:type="paragraph" w:styleId="Header">
    <w:name w:val="header"/>
    <w:basedOn w:val="Normal"/>
    <w:link w:val="HeaderChar"/>
    <w:uiPriority w:val="99"/>
    <w:unhideWhenUsed/>
    <w:pPr>
      <w:pBdr>
        <w:top w:val="single" w:sz="4" w:space="8" w:color="000000" w:themeColor="text1"/>
        <w:left w:val="single" w:sz="4" w:space="8" w:color="000000" w:themeColor="text1"/>
        <w:bottom w:val="single" w:sz="4" w:space="11" w:color="000000" w:themeColor="text1"/>
        <w:right w:val="single" w:sz="4" w:space="8" w:color="000000" w:themeColor="text1"/>
      </w:pBdr>
      <w:shd w:val="clear" w:color="auto" w:fill="000000" w:themeFill="text1"/>
      <w:spacing w:after="120"/>
      <w:ind w:left="202" w:right="202"/>
    </w:pPr>
    <w:rPr>
      <w:rFonts w:asciiTheme="majorHAnsi" w:eastAsiaTheme="majorEastAsia" w:hAnsiTheme="majorHAnsi" w:cstheme="majorBidi"/>
      <w:color w:val="FFFFFF" w:themeColor="background1"/>
      <w:sz w:val="56"/>
    </w:rPr>
  </w:style>
  <w:style w:type="character" w:customStyle="1" w:styleId="HeaderChar">
    <w:name w:val="Header Char"/>
    <w:basedOn w:val="DefaultParagraphFont"/>
    <w:link w:val="Header"/>
    <w:uiPriority w:val="99"/>
    <w:rsid w:val="00500A02"/>
    <w:rPr>
      <w:rFonts w:asciiTheme="majorHAnsi" w:eastAsiaTheme="majorEastAsia" w:hAnsiTheme="majorHAnsi" w:cstheme="majorBidi"/>
      <w:color w:val="FFFFFF" w:themeColor="background1"/>
      <w:sz w:val="56"/>
      <w:shd w:val="clear" w:color="auto" w:fill="000000" w:themeFill="text1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4" w:color="000000" w:themeColor="text1"/>
        <w:left w:val="single" w:sz="4" w:space="8" w:color="000000" w:themeColor="text1"/>
        <w:bottom w:val="single" w:sz="4" w:space="4" w:color="000000" w:themeColor="text1"/>
        <w:right w:val="single" w:sz="4" w:space="8" w:color="000000" w:themeColor="text1"/>
      </w:pBdr>
      <w:shd w:val="clear" w:color="auto" w:fill="000000" w:themeFill="text1"/>
      <w:ind w:left="202" w:right="202"/>
    </w:pPr>
    <w:rPr>
      <w:rFonts w:asciiTheme="majorHAnsi" w:eastAsiaTheme="majorEastAsia" w:hAnsiTheme="majorHAnsi" w:cstheme="majorBidi"/>
      <w:caps/>
      <w:noProof/>
      <w:color w:val="A1CF2A" w:themeColor="accent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00A02"/>
    <w:rPr>
      <w:rFonts w:asciiTheme="majorHAnsi" w:eastAsiaTheme="majorEastAsia" w:hAnsiTheme="majorHAnsi" w:cstheme="majorBidi"/>
      <w:caps/>
      <w:noProof/>
      <w:color w:val="A1CF2A" w:themeColor="accent2"/>
      <w:sz w:val="20"/>
      <w:shd w:val="clear" w:color="auto" w:fill="000000" w:themeFill="text1"/>
    </w:rPr>
  </w:style>
  <w:style w:type="paragraph" w:styleId="Title">
    <w:name w:val="Title"/>
    <w:basedOn w:val="Normal"/>
    <w:link w:val="TitleChar"/>
    <w:uiPriority w:val="2"/>
    <w:unhideWhenUsed/>
    <w:qFormat/>
    <w:rsid w:val="009D7550"/>
    <w:pPr>
      <w:spacing w:after="100"/>
      <w:ind w:left="202" w:right="115"/>
    </w:pPr>
    <w:rPr>
      <w:rFonts w:eastAsiaTheme="majorEastAsia" w:cstheme="majorBidi"/>
      <w:b/>
      <w:caps/>
      <w:color w:val="auto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F43754"/>
    <w:rPr>
      <w:rFonts w:eastAsiaTheme="majorEastAsia" w:cstheme="majorBidi"/>
      <w:b/>
      <w:caps/>
      <w:color w:val="auto"/>
      <w:sz w:val="24"/>
      <w:szCs w:val="56"/>
    </w:rPr>
  </w:style>
  <w:style w:type="paragraph" w:styleId="ListParagraph">
    <w:name w:val="List Paragraph"/>
    <w:basedOn w:val="Normal"/>
    <w:uiPriority w:val="34"/>
    <w:unhideWhenUsed/>
    <w:qFormat/>
    <w:rsid w:val="009F1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7975\AppData\Roaming\Microsoft\Templates\Contact%20list%20for%20youth%20sports.dotx" TargetMode="External"/></Relationships>
</file>

<file path=word/theme/theme1.xml><?xml version="1.0" encoding="utf-8"?>
<a:theme xmlns:a="http://schemas.openxmlformats.org/drawingml/2006/main" name="Office Theme">
  <a:themeElements>
    <a:clrScheme name="Sports Contact List">
      <a:dk1>
        <a:sysClr val="windowText" lastClr="000000"/>
      </a:dk1>
      <a:lt1>
        <a:sysClr val="window" lastClr="FFFFFF"/>
      </a:lt1>
      <a:dk2>
        <a:srgbClr val="1C314F"/>
      </a:dk2>
      <a:lt2>
        <a:srgbClr val="F5F5ED"/>
      </a:lt2>
      <a:accent1>
        <a:srgbClr val="FA5F66"/>
      </a:accent1>
      <a:accent2>
        <a:srgbClr val="A1CF2A"/>
      </a:accent2>
      <a:accent3>
        <a:srgbClr val="F28C07"/>
      </a:accent3>
      <a:accent4>
        <a:srgbClr val="04C0C9"/>
      </a:accent4>
      <a:accent5>
        <a:srgbClr val="D4992E"/>
      </a:accent5>
      <a:accent6>
        <a:srgbClr val="B55496"/>
      </a:accent6>
      <a:hlink>
        <a:srgbClr val="04C0C9"/>
      </a:hlink>
      <a:folHlink>
        <a:srgbClr val="B55496"/>
      </a:folHlink>
    </a:clrScheme>
    <a:fontScheme name="Sports Contact List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>Clinical Pharmacy and Med Rec: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9112E2-617B-4095-805A-2FA30CE7A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133F2-A072-4701-AC99-1A6A9238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C9819-DFF6-4A4B-AD13-EBF3FA462283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a4f35948-e619-41b3-aa29-22878b09cfd2"/>
    <ds:schemaRef ds:uri="http://purl.org/dc/elements/1.1/"/>
    <ds:schemaRef ds:uri="http://purl.org/dc/terms/"/>
    <ds:schemaRef ds:uri="http://schemas.microsoft.com/office/2006/documentManagement/types"/>
    <ds:schemaRef ds:uri="40262f94-9f35-4ac3-9a90-690165a166b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Contact list for youth sports</Template>
  <TotalTime>106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Fischback, Tyler</dc:creator>
  <cp:lastModifiedBy>Fischback, Tyler</cp:lastModifiedBy>
  <cp:revision>4</cp:revision>
  <cp:lastPrinted>2020-02-03T19:28:00Z</cp:lastPrinted>
  <dcterms:created xsi:type="dcterms:W3CDTF">2020-02-03T19:10:00Z</dcterms:created>
  <dcterms:modified xsi:type="dcterms:W3CDTF">2020-02-03T20:57:00Z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