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C85" w:rsidRDefault="009E7C85" w:rsidP="009E7C85">
      <w:pPr>
        <w:rPr>
          <w:color w:val="262626"/>
        </w:rPr>
      </w:pPr>
      <w:r>
        <w:rPr>
          <w:color w:val="262626"/>
        </w:rPr>
        <w:t xml:space="preserve">Hey Team, </w:t>
      </w:r>
    </w:p>
    <w:p w:rsidR="009E7C85" w:rsidRDefault="009E7C85" w:rsidP="009E7C85">
      <w:pPr>
        <w:rPr>
          <w:color w:val="262626"/>
        </w:rPr>
      </w:pPr>
      <w:r>
        <w:rPr>
          <w:color w:val="262626"/>
        </w:rPr>
        <w:t xml:space="preserve">We spent some time at last week’s practice council discussion antibiotic timeouts (slides attached) and doing a PDSA cycle. </w:t>
      </w:r>
    </w:p>
    <w:p w:rsidR="009E7C85" w:rsidRDefault="009E7C85" w:rsidP="009E7C85">
      <w:pPr>
        <w:rPr>
          <w:color w:val="262626"/>
        </w:rPr>
      </w:pPr>
    </w:p>
    <w:p w:rsidR="009E7C85" w:rsidRDefault="009E7C85" w:rsidP="009E7C85">
      <w:pPr>
        <w:rPr>
          <w:color w:val="262626"/>
        </w:rPr>
      </w:pPr>
      <w:r>
        <w:rPr>
          <w:color w:val="262626"/>
        </w:rPr>
        <w:t>I shared data showing that our documented acceptance rate is 75% + from physicians. Further, we’ve seen a significant drop in antibiotic days of therapy of our broad spectrum antipseudomonal beta-lactams. In short, they are working and our efforts are paying off!</w:t>
      </w:r>
    </w:p>
    <w:p w:rsidR="009E7C85" w:rsidRDefault="009E7C85" w:rsidP="009E7C85">
      <w:pPr>
        <w:rPr>
          <w:color w:val="262626"/>
        </w:rPr>
      </w:pPr>
    </w:p>
    <w:p w:rsidR="009E7C85" w:rsidRDefault="009E7C85" w:rsidP="009E7C85">
      <w:pPr>
        <w:rPr>
          <w:color w:val="262626"/>
        </w:rPr>
      </w:pPr>
      <w:r>
        <w:rPr>
          <w:color w:val="262626"/>
        </w:rPr>
        <w:t>I want to remind us of the “why” for doing these:</w:t>
      </w:r>
    </w:p>
    <w:p w:rsidR="009E7C85" w:rsidRDefault="009E7C85" w:rsidP="009E7C85"/>
    <w:p w:rsidR="009E7C85" w:rsidRDefault="009E7C85" w:rsidP="009E7C85">
      <w:r>
        <w:rPr>
          <w:b/>
          <w:bCs/>
        </w:rPr>
        <w:t>Timeouts lead to improved clinical outcomes.</w:t>
      </w:r>
      <w:r>
        <w:t xml:space="preserve"> Many patients come to the hospital needing empiric antibiotic coverage. The timeout is an opportunity to move from empiric to more definitive therapy while optimizing dose, route and duration. Simply getting people on PO therapy earlier prepares them for discharge and can reduce length of stay. Antibiotic timeouts can be educational and support an antibiotic plan with best evidence. This helps keep our providers in the know on most current recommendations. “</w:t>
      </w:r>
    </w:p>
    <w:p w:rsidR="009E7C85" w:rsidRDefault="009E7C85" w:rsidP="009E7C85"/>
    <w:p w:rsidR="009E7C85" w:rsidRDefault="009E7C85" w:rsidP="009E7C85">
      <w:r>
        <w:t xml:space="preserve">In our meeting, we identified some areas that needed some additional clarification and I want to provide that. </w:t>
      </w:r>
    </w:p>
    <w:p w:rsidR="009E7C85" w:rsidRDefault="009E7C85" w:rsidP="009E7C85"/>
    <w:p w:rsidR="009E7C85" w:rsidRDefault="009E7C85" w:rsidP="009E7C85">
      <w:r w:rsidRPr="009E7C85">
        <w:rPr>
          <w:b/>
        </w:rPr>
        <w:t>Question 1:</w:t>
      </w:r>
      <w:r>
        <w:t xml:space="preserve"> How do I know if I have an antibiotic timeout due? </w:t>
      </w:r>
    </w:p>
    <w:p w:rsidR="009E7C85" w:rsidRDefault="009E7C85" w:rsidP="009E7C85">
      <w:r>
        <w:t xml:space="preserve">A: A red dot fires under the take action column. Using your Stewardship Scoring Overview screen, you can see if a timeout is triggering this (red dots also fire for drug bug mismatch, etc.) As of my checking on a Friday afternoon, there are 3 </w:t>
      </w:r>
      <w:proofErr w:type="spellStart"/>
      <w:r>
        <w:t>pt</w:t>
      </w:r>
      <w:proofErr w:type="spellEnd"/>
      <w:r>
        <w:t xml:space="preserve"> in the whole house who have a take action firing, so not a ton of noise.  (</w:t>
      </w:r>
      <w:proofErr w:type="gramStart"/>
      <w:r>
        <w:t>see</w:t>
      </w:r>
      <w:proofErr w:type="gramEnd"/>
      <w:r>
        <w:t xml:space="preserve"> screenshots below)</w:t>
      </w:r>
    </w:p>
    <w:p w:rsidR="009E7C85" w:rsidRDefault="009E7C85" w:rsidP="009E7C85"/>
    <w:p w:rsidR="009E7C85" w:rsidRDefault="009E7C85" w:rsidP="009E7C85">
      <w:r w:rsidRPr="009E7C85">
        <w:rPr>
          <w:b/>
        </w:rPr>
        <w:t>Question 2:</w:t>
      </w:r>
      <w:r>
        <w:t xml:space="preserve"> Do I have to do timeouts during the week?</w:t>
      </w:r>
    </w:p>
    <w:p w:rsidR="009E7C85" w:rsidRDefault="009E7C85" w:rsidP="009E7C85">
      <w:r>
        <w:t>A: Yes, you are required to complete this documentation.</w:t>
      </w:r>
    </w:p>
    <w:p w:rsidR="009E7C85" w:rsidRDefault="009E7C85" w:rsidP="009E7C85"/>
    <w:p w:rsidR="009E7C85" w:rsidRDefault="009E7C85" w:rsidP="009E7C85">
      <w:r w:rsidRPr="009E7C85">
        <w:rPr>
          <w:b/>
        </w:rPr>
        <w:t>Question 3:</w:t>
      </w:r>
      <w:r>
        <w:t xml:space="preserve"> Do I have to do timeouts on the weekend?</w:t>
      </w:r>
    </w:p>
    <w:p w:rsidR="009E7C85" w:rsidRDefault="009E7C85" w:rsidP="009E7C85">
      <w:r>
        <w:t xml:space="preserve">A: +/- If you have time. People should also be working to diligently clean up take actions prior to the weekend. </w:t>
      </w:r>
    </w:p>
    <w:p w:rsidR="009E7C85" w:rsidRDefault="009E7C85" w:rsidP="009E7C85"/>
    <w:p w:rsidR="009E7C85" w:rsidRDefault="009E7C85" w:rsidP="009E7C85">
      <w:r w:rsidRPr="009E7C85">
        <w:rPr>
          <w:b/>
        </w:rPr>
        <w:t>Question 4</w:t>
      </w:r>
      <w:r>
        <w:t>: Can I do timeouts on other antibiotics like ceftriaxone that don’t fire a red take action dot?</w:t>
      </w:r>
    </w:p>
    <w:p w:rsidR="009E7C85" w:rsidRDefault="009E7C85" w:rsidP="009E7C85">
      <w:r>
        <w:t xml:space="preserve">A: You aren’t required to. However, this is a great thing to highlight during something like an annual review to demonstrate your efforts in going above and beyond to accomplish and contribute to our goals. </w:t>
      </w:r>
    </w:p>
    <w:p w:rsidR="009E7C85" w:rsidRDefault="009E7C85" w:rsidP="009E7C85"/>
    <w:p w:rsidR="009E7C85" w:rsidRDefault="009E7C85" w:rsidP="009E7C85">
      <w:r w:rsidRPr="009E7C85">
        <w:rPr>
          <w:b/>
        </w:rPr>
        <w:t>Question 5:</w:t>
      </w:r>
      <w:r>
        <w:t xml:space="preserve"> What if I don’t catch a timeout until after 48 hours, say at 96 hours or even later?</w:t>
      </w:r>
    </w:p>
    <w:p w:rsidR="009E7C85" w:rsidRDefault="009E7C85" w:rsidP="009E7C85">
      <w:r>
        <w:t xml:space="preserve">A: Still complete it! The 48 hour mark is when we start to expect we have data that may inform more definitive therapy and duration. A timeout is valuable any time after this point. </w:t>
      </w:r>
    </w:p>
    <w:p w:rsidR="009E7C85" w:rsidRDefault="009E7C85" w:rsidP="009E7C85"/>
    <w:p w:rsidR="009E7C85" w:rsidRDefault="009E7C85" w:rsidP="009E7C85">
      <w:r w:rsidRPr="009E7C85">
        <w:rPr>
          <w:b/>
        </w:rPr>
        <w:t>Question 6:</w:t>
      </w:r>
      <w:r>
        <w:t xml:space="preserve"> How can I tell if a timeout has taken place if the red dot is still there for some other reason like a drug-bug mismatch?</w:t>
      </w:r>
    </w:p>
    <w:p w:rsidR="009E7C85" w:rsidRDefault="009E7C85" w:rsidP="009E7C85">
      <w:r>
        <w:t>A: In the stewardship scoring overview there is an open AMS I-Vents section which also shows closed I-vents.  (</w:t>
      </w:r>
      <w:proofErr w:type="gramStart"/>
      <w:r>
        <w:t>see</w:t>
      </w:r>
      <w:proofErr w:type="gramEnd"/>
      <w:r>
        <w:t xml:space="preserve"> screenshots below)</w:t>
      </w:r>
    </w:p>
    <w:p w:rsidR="009E7C85" w:rsidRDefault="009E7C85" w:rsidP="009E7C85"/>
    <w:p w:rsidR="009E7C85" w:rsidRDefault="009E7C85" w:rsidP="009E7C85">
      <w:r w:rsidRPr="009E7C85">
        <w:rPr>
          <w:b/>
        </w:rPr>
        <w:t>Question 7:</w:t>
      </w:r>
      <w:r>
        <w:t xml:space="preserve"> How do I document these discussions?</w:t>
      </w:r>
    </w:p>
    <w:p w:rsidR="009E7C85" w:rsidRDefault="009E7C85" w:rsidP="009E7C85">
      <w:r>
        <w:t xml:space="preserve">A: Use the prebuilt I-vent. Be truthful about what transpired. If the doc already de-escalated to something else and you didn’t really do anything, just state that. </w:t>
      </w:r>
    </w:p>
    <w:p w:rsidR="009E7C85" w:rsidRDefault="009E7C85" w:rsidP="009E7C85"/>
    <w:p w:rsidR="009E7C85" w:rsidRDefault="009E7C85" w:rsidP="009E7C85">
      <w:pPr>
        <w:rPr>
          <w:color w:val="262626"/>
        </w:rPr>
      </w:pPr>
      <w:r>
        <w:rPr>
          <w:color w:val="262626"/>
        </w:rPr>
        <w:lastRenderedPageBreak/>
        <w:t>I’ll be rejoining for Jan. 30</w:t>
      </w:r>
      <w:r>
        <w:rPr>
          <w:color w:val="262626"/>
          <w:vertAlign w:val="superscript"/>
        </w:rPr>
        <w:t>th</w:t>
      </w:r>
      <w:r>
        <w:rPr>
          <w:color w:val="262626"/>
        </w:rPr>
        <w:t xml:space="preserve"> practice council to cover the remainder of our slides, answer any remaining questions and discuss our opportunities with PNA. </w:t>
      </w:r>
    </w:p>
    <w:p w:rsidR="009E7C85" w:rsidRDefault="009E7C85" w:rsidP="009E7C85">
      <w:pPr>
        <w:rPr>
          <w:color w:val="262626"/>
        </w:rPr>
      </w:pPr>
    </w:p>
    <w:p w:rsidR="009E7C85" w:rsidRDefault="009E7C85" w:rsidP="009E7C85">
      <w:pPr>
        <w:rPr>
          <w:color w:val="262626"/>
        </w:rPr>
      </w:pPr>
      <w:r>
        <w:rPr>
          <w:color w:val="262626"/>
        </w:rPr>
        <w:t>Thank you for your commitment to formalizing our antibiotic timeouts and pushing yourselves and our clinicians to best practices and improved patient outcomes!</w:t>
      </w:r>
    </w:p>
    <w:p w:rsidR="009E7C85" w:rsidRDefault="009E7C85" w:rsidP="009E7C85">
      <w:pPr>
        <w:rPr>
          <w:color w:val="262626"/>
        </w:rPr>
      </w:pPr>
    </w:p>
    <w:p w:rsidR="009E7C85" w:rsidRDefault="009E7C85" w:rsidP="009E7C85">
      <w:pPr>
        <w:rPr>
          <w:color w:val="262626"/>
        </w:rPr>
      </w:pPr>
      <w:r>
        <w:rPr>
          <w:color w:val="262626"/>
        </w:rPr>
        <w:t>Cheers,</w:t>
      </w:r>
    </w:p>
    <w:p w:rsidR="009E7C85" w:rsidRDefault="009E7C85" w:rsidP="009E7C85">
      <w:pPr>
        <w:rPr>
          <w:color w:val="262626"/>
        </w:rPr>
      </w:pPr>
      <w:r>
        <w:rPr>
          <w:color w:val="262626"/>
        </w:rPr>
        <w:t>Tyler</w:t>
      </w:r>
    </w:p>
    <w:p w:rsidR="009E7C85" w:rsidRDefault="009E7C85" w:rsidP="009E7C85"/>
    <w:p w:rsidR="009E7C85" w:rsidRDefault="009E7C85" w:rsidP="009E7C85"/>
    <w:p w:rsidR="009E7C85" w:rsidRDefault="009E7C85" w:rsidP="009E7C85">
      <w:pPr>
        <w:rPr>
          <w:rFonts w:ascii="Tahoma" w:hAnsi="Tahoma" w:cs="Tahoma"/>
          <w:color w:val="262626"/>
        </w:rPr>
      </w:pPr>
    </w:p>
    <w:p w:rsidR="009E7C85" w:rsidRDefault="009E7C85" w:rsidP="009E7C85">
      <w:pPr>
        <w:rPr>
          <w:rFonts w:ascii="Tahoma" w:hAnsi="Tahoma" w:cs="Tahoma"/>
          <w:color w:val="262626"/>
        </w:rPr>
      </w:pPr>
      <w:r>
        <w:rPr>
          <w:noProof/>
        </w:rPr>
        <w:drawing>
          <wp:inline distT="0" distB="0" distL="0" distR="0">
            <wp:extent cx="8948930" cy="3924300"/>
            <wp:effectExtent l="0" t="0" r="5080" b="0"/>
            <wp:docPr id="2" name="Picture 2" descr="cid:image004.png@01D5D2CC.CFF4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5D2CC.CFF4678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964645" cy="3931191"/>
                    </a:xfrm>
                    <a:prstGeom prst="rect">
                      <a:avLst/>
                    </a:prstGeom>
                    <a:noFill/>
                    <a:ln>
                      <a:noFill/>
                    </a:ln>
                  </pic:spPr>
                </pic:pic>
              </a:graphicData>
            </a:graphic>
          </wp:inline>
        </w:drawing>
      </w:r>
    </w:p>
    <w:p w:rsidR="009E7C85" w:rsidRDefault="009E7C85" w:rsidP="009E7C85">
      <w:pPr>
        <w:rPr>
          <w:rFonts w:ascii="Tahoma" w:hAnsi="Tahoma" w:cs="Tahoma"/>
          <w:color w:val="262626"/>
        </w:rPr>
      </w:pPr>
      <w:bookmarkStart w:id="0" w:name="_GoBack"/>
      <w:r>
        <w:rPr>
          <w:noProof/>
        </w:rPr>
        <w:lastRenderedPageBreak/>
        <w:drawing>
          <wp:inline distT="0" distB="0" distL="0" distR="0">
            <wp:extent cx="8848725" cy="2447159"/>
            <wp:effectExtent l="0" t="0" r="0" b="0"/>
            <wp:docPr id="1" name="Picture 1" descr="cid:image002.png@01D5D2CE.2C67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png@01D5D2CE.2C6770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908161" cy="2463596"/>
                    </a:xfrm>
                    <a:prstGeom prst="rect">
                      <a:avLst/>
                    </a:prstGeom>
                    <a:noFill/>
                    <a:ln>
                      <a:noFill/>
                    </a:ln>
                  </pic:spPr>
                </pic:pic>
              </a:graphicData>
            </a:graphic>
          </wp:inline>
        </w:drawing>
      </w:r>
      <w:bookmarkEnd w:id="0"/>
    </w:p>
    <w:p w:rsidR="009E7C85" w:rsidRDefault="009E7C85" w:rsidP="009E7C85">
      <w:pPr>
        <w:rPr>
          <w:rFonts w:ascii="Tahoma" w:hAnsi="Tahoma" w:cs="Tahoma"/>
          <w:color w:val="262626"/>
        </w:rPr>
      </w:pPr>
    </w:p>
    <w:p w:rsidR="009E7C85" w:rsidRDefault="009E7C85" w:rsidP="009E7C85">
      <w:pPr>
        <w:rPr>
          <w:rFonts w:ascii="Tahoma" w:hAnsi="Tahoma" w:cs="Tahoma"/>
          <w:color w:val="262626"/>
        </w:rPr>
      </w:pPr>
    </w:p>
    <w:p w:rsidR="00512EE9" w:rsidRDefault="009E7C85"/>
    <w:sectPr w:rsidR="00512EE9" w:rsidSect="009E7C8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 ??"/>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85"/>
    <w:rsid w:val="00700F13"/>
    <w:rsid w:val="009E7C85"/>
    <w:rsid w:val="00F6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39FC5-C5C4-4B1B-9C5A-88A79BEC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C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59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png@01D5D2CE.2C677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4.png@01D5D2CC.CFF4678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Confluence Health</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Fischback, Tyler</dc:creator>
  <cp:keywords/>
  <dc:description/>
  <cp:lastModifiedBy>Fischback, Tyler</cp:lastModifiedBy>
  <cp:revision>1</cp:revision>
  <dcterms:created xsi:type="dcterms:W3CDTF">2020-02-04T14:06:00Z</dcterms:created>
  <dcterms:modified xsi:type="dcterms:W3CDTF">2020-02-04T14:07:00Z</dcterms:modified>
</cp:coreProperties>
</file>