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A26129" w:rsidRPr="00DA7E40" w14:paraId="65CC32CB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D6B1" w14:textId="77777777" w:rsidR="00A26129" w:rsidRPr="003D6724" w:rsidRDefault="00A26129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GS Health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6970198" w14:textId="1EE00451" w:rsidR="00A26129" w:rsidRPr="00A40F80" w:rsidRDefault="00A26129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 w:rsidR="00E538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2A24EE06" w14:textId="1B1E2B5F" w:rsidR="00A26129" w:rsidRPr="00734BE2" w:rsidRDefault="00A26129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 w:rsidR="00E5382E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65C5950C" w14:textId="6CC3294D" w:rsidR="00A26129" w:rsidRPr="000D7308" w:rsidRDefault="00A26129" w:rsidP="00A26129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67F3DE80" w14:textId="65E3F983" w:rsidR="00A26129" w:rsidRPr="00DA7E40" w:rsidRDefault="00B047EA" w:rsidP="00A26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17B82B4" wp14:editId="1F59C65B">
            <wp:simplePos x="0" y="0"/>
            <wp:positionH relativeFrom="column">
              <wp:posOffset>3012328</wp:posOffset>
            </wp:positionH>
            <wp:positionV relativeFrom="paragraph">
              <wp:posOffset>422910</wp:posOffset>
            </wp:positionV>
            <wp:extent cx="4039437" cy="2774130"/>
            <wp:effectExtent l="0" t="0" r="0" b="0"/>
            <wp:wrapThrough wrapText="bothSides">
              <wp:wrapPolygon edited="0">
                <wp:start x="0" y="0"/>
                <wp:lineTo x="0" y="21462"/>
                <wp:lineTo x="21529" y="21462"/>
                <wp:lineTo x="21529" y="0"/>
                <wp:lineTo x="0" y="0"/>
              </wp:wrapPolygon>
            </wp:wrapThrough>
            <wp:docPr id="548112224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12224" name="Picture 7" descr="A graph showing the number of pati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437" cy="277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44C76122" wp14:editId="1393B8BB">
            <wp:simplePos x="0" y="0"/>
            <wp:positionH relativeFrom="column">
              <wp:posOffset>-206298</wp:posOffset>
            </wp:positionH>
            <wp:positionV relativeFrom="paragraph">
              <wp:posOffset>0</wp:posOffset>
            </wp:positionV>
            <wp:extent cx="3104515" cy="3696970"/>
            <wp:effectExtent l="0" t="0" r="0" b="0"/>
            <wp:wrapThrough wrapText="bothSides">
              <wp:wrapPolygon edited="0">
                <wp:start x="0" y="0"/>
                <wp:lineTo x="0" y="21518"/>
                <wp:lineTo x="21472" y="21518"/>
                <wp:lineTo x="21472" y="0"/>
                <wp:lineTo x="0" y="0"/>
              </wp:wrapPolygon>
            </wp:wrapThrough>
            <wp:docPr id="446644919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44919" name="Picture 6" descr="A graph of a number of peop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A26129" w:rsidRPr="00DA7E40" w14:paraId="05043EA1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B8FB" w14:textId="77777777" w:rsidR="00A26129" w:rsidRPr="00AA79B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03E43EEB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5EB86" wp14:editId="78B92A1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52D37" w14:textId="0DA2A0D6" w:rsidR="00A26129" w:rsidRPr="00D8182B" w:rsidRDefault="00A26129" w:rsidP="00A26129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B94250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35.6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4AA4A1AC" w14:textId="77777777" w:rsidR="00A26129" w:rsidRPr="00D7271F" w:rsidRDefault="00A26129" w:rsidP="00A26129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8DB25B8" w14:textId="77777777" w:rsidR="00A26129" w:rsidRDefault="00A26129" w:rsidP="00A261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7A42BC56" w14:textId="77777777" w:rsidR="00A26129" w:rsidRPr="00D3481D" w:rsidRDefault="00A26129" w:rsidP="00A261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6D402DCB" w14:textId="77777777" w:rsidR="00A26129" w:rsidRPr="00D3481D" w:rsidRDefault="00A26129" w:rsidP="00A2612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5229BD01" w14:textId="77777777" w:rsidR="00A26129" w:rsidRPr="00D7271F" w:rsidRDefault="00A26129" w:rsidP="00A2612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1BD5EB86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" filled="f" strokecolor="#e97132 [3205]" strokeweight="2.25pt">
                      <v:stroke joinstyle="miter"/>
                      <v:textbox>
                        <w:txbxContent>
                          <w:p w14:paraId="7D052D37" w14:textId="0DA2A0D6" w:rsidR="00A26129" w:rsidRPr="00D8182B" w:rsidRDefault="00A26129" w:rsidP="00A26129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94250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35.6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4AA4A1AC" w14:textId="77777777" w:rsidR="00A26129" w:rsidRPr="00D7271F" w:rsidRDefault="00A26129" w:rsidP="00A26129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8DB25B8" w14:textId="77777777" w:rsidR="00A26129" w:rsidRDefault="00A26129" w:rsidP="00A26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7A42BC56" w14:textId="77777777" w:rsidR="00A26129" w:rsidRPr="00D3481D" w:rsidRDefault="00A26129" w:rsidP="00A261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6D402DCB" w14:textId="77777777" w:rsidR="00A26129" w:rsidRPr="00D3481D" w:rsidRDefault="00A26129" w:rsidP="00A261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5229BD01" w14:textId="77777777" w:rsidR="00A26129" w:rsidRPr="00D7271F" w:rsidRDefault="00A26129" w:rsidP="00A2612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4E66A8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8C51817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C3A1B1F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C2F5C44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FF354AE" w14:textId="77777777" w:rsidR="00A26129" w:rsidRPr="00734BE2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26129" w:rsidRPr="00DA7E40" w14:paraId="405E88AA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486F" w14:textId="77777777" w:rsidR="00A26129" w:rsidRPr="0031242E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A26129" w:rsidRPr="00DA7E40" w14:paraId="0D300447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C065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5BAA5F9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47E4602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B507AA4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97DBD18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7CC218E" w14:textId="77777777" w:rsidR="00A26129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0620DA68" w14:textId="77777777" w:rsidR="00A26129" w:rsidRDefault="00A26129" w:rsidP="00A26129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5678D9E" w14:textId="77777777" w:rsidR="00A26129" w:rsidRDefault="00A26129" w:rsidP="00A26129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0B0A4F6" w14:textId="77777777" w:rsidR="00A26129" w:rsidRDefault="00A26129" w:rsidP="00A26129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3B564E7" w14:textId="77777777" w:rsidR="00A26129" w:rsidRDefault="00A26129" w:rsidP="00A26129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0ECF592" w14:textId="77777777" w:rsidR="00A26129" w:rsidRDefault="00A26129" w:rsidP="00A26129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D959B0F" w14:textId="3F5061C0" w:rsidR="00A26129" w:rsidRPr="000D7308" w:rsidRDefault="00F71A3F" w:rsidP="00A26129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170A9845" wp14:editId="569E1C17">
            <wp:simplePos x="0" y="0"/>
            <wp:positionH relativeFrom="column">
              <wp:posOffset>3472180</wp:posOffset>
            </wp:positionH>
            <wp:positionV relativeFrom="paragraph">
              <wp:posOffset>276225</wp:posOffset>
            </wp:positionV>
            <wp:extent cx="3583305" cy="2155825"/>
            <wp:effectExtent l="0" t="0" r="0" b="3175"/>
            <wp:wrapThrough wrapText="bothSides">
              <wp:wrapPolygon edited="0">
                <wp:start x="0" y="0"/>
                <wp:lineTo x="0" y="21505"/>
                <wp:lineTo x="21512" y="21505"/>
                <wp:lineTo x="21512" y="0"/>
                <wp:lineTo x="0" y="0"/>
              </wp:wrapPolygon>
            </wp:wrapThrough>
            <wp:docPr id="1058590867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90867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7445AD5" wp14:editId="586C87AF">
            <wp:simplePos x="0" y="0"/>
            <wp:positionH relativeFrom="column">
              <wp:posOffset>-175895</wp:posOffset>
            </wp:positionH>
            <wp:positionV relativeFrom="paragraph">
              <wp:posOffset>276225</wp:posOffset>
            </wp:positionV>
            <wp:extent cx="3524885" cy="2155825"/>
            <wp:effectExtent l="0" t="0" r="5715" b="3175"/>
            <wp:wrapThrough wrapText="bothSides">
              <wp:wrapPolygon edited="0">
                <wp:start x="0" y="0"/>
                <wp:lineTo x="0" y="21505"/>
                <wp:lineTo x="21557" y="21505"/>
                <wp:lineTo x="21557" y="0"/>
                <wp:lineTo x="0" y="0"/>
              </wp:wrapPolygon>
            </wp:wrapThrough>
            <wp:docPr id="1346790522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90522" name="Picture 8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129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A26129">
        <w:rPr>
          <w:b/>
          <w:bCs/>
          <w:sz w:val="28"/>
          <w:szCs w:val="28"/>
          <w:u w:val="single"/>
        </w:rPr>
        <w:t xml:space="preserve">Rate </w:t>
      </w:r>
      <w:r w:rsidR="00A26129" w:rsidRPr="000D7308">
        <w:rPr>
          <w:b/>
          <w:bCs/>
          <w:sz w:val="28"/>
          <w:szCs w:val="28"/>
          <w:u w:val="single"/>
        </w:rPr>
        <w:t xml:space="preserve">of ASB </w:t>
      </w:r>
    </w:p>
    <w:p w14:paraId="1F6A710F" w14:textId="515001A0" w:rsidR="00A26129" w:rsidRPr="00D8182B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180016C" w14:textId="794F1980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D807B" wp14:editId="2D75CB9F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F9E21" w14:textId="77777777" w:rsidR="00A26129" w:rsidRPr="00626572" w:rsidRDefault="00000000" w:rsidP="00A261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7DD8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" fillcolor="white [3201]" stroked="f" strokeweight=".5pt">
                <v:textbox>
                  <w:txbxContent>
                    <w:p w14:paraId="362F9E21" w14:textId="77777777" w:rsidR="00A26129" w:rsidRPr="00626572" w:rsidRDefault="00000000" w:rsidP="00A26129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2DF7" wp14:editId="021029C3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F012D" w14:textId="77777777" w:rsidR="00A26129" w:rsidRPr="00626572" w:rsidRDefault="00A26129" w:rsidP="00A261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EA02DF7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" filled="f" strokecolor="#0f4761 [2404]" strokeweight="1.5pt">
                <v:stroke joinstyle="miter"/>
                <v:textbox>
                  <w:txbxContent>
                    <w:p w14:paraId="273F012D" w14:textId="77777777" w:rsidR="00A26129" w:rsidRPr="00626572" w:rsidRDefault="00A26129" w:rsidP="00A26129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EC6D3" wp14:editId="54BE7434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A6682" w14:textId="77777777" w:rsidR="00A26129" w:rsidRPr="00626572" w:rsidRDefault="00000000" w:rsidP="00A261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1EC6D3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" fillcolor="white [3201]" stroked="f" strokeweight=".5pt">
                <v:textbox>
                  <w:txbxContent>
                    <w:p w14:paraId="69FA6682" w14:textId="77777777" w:rsidR="00A26129" w:rsidRPr="00626572" w:rsidRDefault="00A26129" w:rsidP="00A26129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CE0C9" wp14:editId="36C83618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02F99" w14:textId="77777777" w:rsidR="00A26129" w:rsidRDefault="00A26129" w:rsidP="00A26129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07F02BC" w14:textId="77777777" w:rsidR="00A26129" w:rsidRPr="00626572" w:rsidRDefault="00A26129" w:rsidP="00A26129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4398AD67" w14:textId="77777777" w:rsidR="00A26129" w:rsidRPr="00626572" w:rsidRDefault="00A26129" w:rsidP="00A261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97CE0C9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72902F99" w14:textId="77777777" w:rsidR="00A26129" w:rsidRDefault="00A26129" w:rsidP="00A26129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07F02BC" w14:textId="77777777" w:rsidR="00A26129" w:rsidRPr="00626572" w:rsidRDefault="00A26129" w:rsidP="00A26129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4398AD67" w14:textId="77777777" w:rsidR="00A26129" w:rsidRPr="00626572" w:rsidRDefault="00A26129" w:rsidP="00A2612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C3762F" w14:textId="7EB3FD5B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399BCC6" w14:textId="5B9A7D22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BEBA749" w14:textId="77777777" w:rsidR="00A26129" w:rsidRPr="005E6941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5A7D6D91" w14:textId="77777777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18E1298C" w14:textId="77777777" w:rsidR="00A26129" w:rsidRPr="00AA79B4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1103997C" w14:textId="4012978F" w:rsidR="00A26129" w:rsidRPr="009B65C2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238</w:t>
      </w:r>
    </w:p>
    <w:p w14:paraId="5223D14F" w14:textId="2C02EFC5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24 (20-34)</w:t>
      </w:r>
    </w:p>
    <w:p w14:paraId="4321A46F" w14:textId="77777777" w:rsidR="00A26129" w:rsidRPr="00AA79B4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CADFCE7" w14:textId="77777777" w:rsidR="00A26129" w:rsidRPr="00AA79B4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39CC2E2B" w14:textId="1F979C2B" w:rsidR="00A26129" w:rsidRPr="009B65C2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6913F206" w14:textId="38801BF1" w:rsidR="00A26129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110 of 238 (46.2%)</w:t>
      </w:r>
    </w:p>
    <w:p w14:paraId="3D38B82E" w14:textId="77777777" w:rsidR="00A26129" w:rsidRPr="00AA79B4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3FE9B0C" w14:textId="77777777" w:rsidR="00A26129" w:rsidRPr="00AA79B4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98EE923" w14:textId="7D938C91" w:rsidR="00A26129" w:rsidRPr="009B65C2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266 of 356 (74.7%)</w:t>
      </w:r>
    </w:p>
    <w:p w14:paraId="1A92AC06" w14:textId="6A83A098" w:rsidR="00A26129" w:rsidRPr="009B65C2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B942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98 of 110 (89.1%)</w:t>
      </w:r>
    </w:p>
    <w:p w14:paraId="07DE2086" w14:textId="77777777" w:rsidR="00A26129" w:rsidRPr="00D8182B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23 of 27 (85%)</w:t>
      </w:r>
    </w:p>
    <w:p w14:paraId="6F926CF3" w14:textId="77777777" w:rsidR="00A26129" w:rsidRDefault="00A26129" w:rsidP="00A26129">
      <w:pPr>
        <w:rPr>
          <w:b/>
          <w:bCs/>
          <w:sz w:val="28"/>
          <w:szCs w:val="28"/>
          <w:u w:val="single"/>
        </w:rPr>
      </w:pPr>
    </w:p>
    <w:p w14:paraId="5F6A8FED" w14:textId="77777777" w:rsidR="00A26129" w:rsidRPr="000D7308" w:rsidRDefault="00A26129" w:rsidP="00A261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A26129" w:rsidRPr="00DA7E40" w14:paraId="7174915B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5549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A26129" w:rsidRPr="00DA7E40" w14:paraId="47BA9DE8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46F9" w14:textId="77777777" w:rsidR="00A26129" w:rsidRPr="00BF1824" w:rsidRDefault="00A26129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7C20" w14:textId="77777777" w:rsidR="00A26129" w:rsidRPr="00BF1824" w:rsidRDefault="00A26129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A26129" w:rsidRPr="00DA7E40" w14:paraId="65256D97" w14:textId="77777777" w:rsidTr="00BE6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B5A8" w14:textId="061C0075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 w:rsidR="007011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BE6E8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C8D8" w14:textId="018A3ED9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7011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E601" w14:textId="215CF47C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 w:rsidR="007011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6E8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7E8B" w14:textId="38A8088E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7011E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89</w:t>
            </w:r>
          </w:p>
        </w:tc>
      </w:tr>
      <w:tr w:rsidR="00A26129" w:rsidRPr="00DA7E40" w14:paraId="76F84B0A" w14:textId="77777777" w:rsidTr="00BE6E85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248D" w14:textId="62F931F5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(n=34)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283D" w14:textId="4EC43B60" w:rsidR="00A26129" w:rsidRPr="00BF1824" w:rsidRDefault="007011E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(n=48)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7F08" w14:textId="68CE933D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(n=33)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2BB3" w14:textId="09ABE7F4" w:rsidR="00A26129" w:rsidRPr="00BF1824" w:rsidRDefault="004B48F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(n=27)</w:t>
            </w:r>
          </w:p>
        </w:tc>
      </w:tr>
      <w:tr w:rsidR="00A26129" w:rsidRPr="00DA7E40" w14:paraId="2EBCA9D6" w14:textId="77777777" w:rsidTr="00BE6E85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B6BF" w14:textId="4C60CB0C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Ciprofloxacin (n=1) 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7775" w14:textId="64101538" w:rsidR="00A26129" w:rsidRPr="00BF1824" w:rsidRDefault="007011E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(n=2)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9493" w14:textId="59F730F7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(n=29)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B9C7" w14:textId="1DA981CC" w:rsidR="00A26129" w:rsidRPr="00BF1824" w:rsidRDefault="004B48F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(n=16)</w:t>
            </w:r>
          </w:p>
        </w:tc>
      </w:tr>
      <w:tr w:rsidR="00A26129" w:rsidRPr="00DA7E40" w14:paraId="47DC789A" w14:textId="77777777" w:rsidTr="00BE6E85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4678" w14:textId="2CEC3A8F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Ertapenem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2743" w14:textId="7C48CAA3" w:rsidR="00A26129" w:rsidRPr="00BF1824" w:rsidRDefault="007011E8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FB9F" w14:textId="07714C01" w:rsidR="00A26129" w:rsidRPr="00BF1824" w:rsidRDefault="00BE6E8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(n=18)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EB24" w14:textId="7C57FB94" w:rsidR="00A26129" w:rsidRPr="00BF1824" w:rsidRDefault="004B48F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(n=14)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A26129" w:rsidRPr="00BF1824" w14:paraId="64FAB2AA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9272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0BD7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E449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A26129" w:rsidRPr="00BF1824" w14:paraId="71D2D23A" w14:textId="77777777" w:rsidTr="00C6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FE0D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E77A" w14:textId="398143F3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64AB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1A58" w14:textId="5D3A689F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64AB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A446" w14:textId="2589E040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64AB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C01D" w14:textId="356CCC72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64AB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A26129" w:rsidRPr="00BF1824" w14:paraId="5F1588BA" w14:textId="77777777" w:rsidTr="00C64AB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F607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473A" w14:textId="7799B7C5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(7-8)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705D" w14:textId="7769CE25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(7-8)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4FAA" w14:textId="100F6C55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(5-8)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0937" w14:textId="68AE6FFC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(3.75-8)</w:t>
            </w:r>
          </w:p>
        </w:tc>
      </w:tr>
      <w:tr w:rsidR="00A26129" w:rsidRPr="00BF1824" w14:paraId="6753D62B" w14:textId="77777777" w:rsidTr="00C64AB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2A40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BB8F" w14:textId="3C58034F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63</w:t>
            </w:r>
            <w:r w:rsidR="008F0B1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(54.8%)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1C6A" w14:textId="3348BF44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8F0B1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(53.8%)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E294" w14:textId="3704D8A8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54</w:t>
            </w:r>
            <w:r w:rsidR="008F0B1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(52.9%)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19F6" w14:textId="3A667089" w:rsidR="00A26129" w:rsidRPr="00BF1824" w:rsidRDefault="00C64AB7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8F0B1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(37.5%)</w:t>
            </w:r>
          </w:p>
        </w:tc>
      </w:tr>
    </w:tbl>
    <w:p w14:paraId="164C2DBA" w14:textId="77777777" w:rsidR="00A26129" w:rsidRDefault="00A26129" w:rsidP="00A26129">
      <w:pPr>
        <w:rPr>
          <w:rFonts w:ascii="Times New Roman" w:hAnsi="Times New Roman" w:cs="Times New Roman"/>
          <w:sz w:val="22"/>
          <w:szCs w:val="22"/>
        </w:rPr>
      </w:pPr>
    </w:p>
    <w:p w14:paraId="038306F3" w14:textId="2380A558" w:rsidR="00A26129" w:rsidRPr="00626572" w:rsidRDefault="00A26129" w:rsidP="00A26129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</w:t>
      </w:r>
      <w:r w:rsidR="004F5FBB">
        <w:rPr>
          <w:rFonts w:ascii="Times New Roman" w:hAnsi="Times New Roman" w:cs="Times New Roman"/>
          <w:sz w:val="22"/>
          <w:szCs w:val="22"/>
        </w:rPr>
        <w:t>May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 </w:t>
      </w:r>
      <w:r w:rsidR="004F5FBB">
        <w:rPr>
          <w:rFonts w:ascii="Times New Roman" w:hAnsi="Times New Roman" w:cs="Times New Roman"/>
          <w:sz w:val="22"/>
          <w:szCs w:val="22"/>
        </w:rPr>
        <w:t>June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A26129" w:rsidRPr="00DA7E40" w14:paraId="1E3DDDF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4B9A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3D0B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B0A0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BB5089" w:rsidRPr="00DA7E40" w14:paraId="478750F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1F87" w14:textId="77777777" w:rsidR="00BB5089" w:rsidRPr="00BF1824" w:rsidRDefault="00BB5089" w:rsidP="00BB50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4CDE" w14:textId="073EEF9C" w:rsidR="00BB5089" w:rsidRPr="00BF1824" w:rsidRDefault="00BB5089" w:rsidP="00BB50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BDC9" w14:textId="482823D1" w:rsidR="00BB5089" w:rsidRPr="00BF1824" w:rsidRDefault="00BB5089" w:rsidP="00BB50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9964" w14:textId="6D4BBDE2" w:rsidR="00BB5089" w:rsidRPr="00BF1824" w:rsidRDefault="00BB5089" w:rsidP="00BB50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7535" w14:textId="2CCEBBA0" w:rsidR="00BB5089" w:rsidRPr="00BF1824" w:rsidRDefault="00BB5089" w:rsidP="00BB50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A26129" w:rsidRPr="00DA7E40" w14:paraId="2005E69D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DDFC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A26129" w:rsidRPr="00DA7E40" w14:paraId="0C8AA245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D540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C546" w14:textId="2E8D941E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0425" w14:textId="3892B058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C0B3" w14:textId="093BE3DA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(19.6%)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9B3F" w14:textId="6E70A57D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26129" w:rsidRPr="00DA7E40" w14:paraId="1DCF69D1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F793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9951" w14:textId="07FBF14A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108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(93.9%)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AD3E" w14:textId="428EE2C3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DDE5" w14:textId="31B08803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76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(74.5%)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60C6" w14:textId="1DB2D7C6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A26129" w:rsidRPr="00DA7E40" w14:paraId="697D90D3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4141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3BA5" w14:textId="6E83FDB4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0B66" w14:textId="5DA005B7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1574" w14:textId="2775D4C7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F555" w14:textId="7289AC63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26129" w:rsidRPr="00DA7E40" w14:paraId="3B7F568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CB6B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7668" w14:textId="58A8C525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1F8B" w14:textId="5F081F2F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CDF7" w14:textId="2A9AF7A1" w:rsidR="00A26129" w:rsidRPr="00BF1824" w:rsidRDefault="00E0406C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7EF6" w14:textId="26A73519" w:rsidR="00A26129" w:rsidRPr="00BF1824" w:rsidRDefault="00404304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26129" w:rsidRPr="00DA7E40" w14:paraId="43B702B9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EEA9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8CE7" w14:textId="7F3E6D83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(0.9%)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6D03" w14:textId="55A148E1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BF90" w14:textId="780A8055" w:rsidR="00A26129" w:rsidRPr="00BF1824" w:rsidRDefault="00E0406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1642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EF59" w14:textId="77ACBF8B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26129" w:rsidRPr="00DA7E40" w14:paraId="4EA5969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416E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0B14" w14:textId="64B430E4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107 (93.0%)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CA3E" w14:textId="0A25AD66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8D67" w14:textId="3B13D8AA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95 (93.1%)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A34E" w14:textId="3BFC7985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(100%)</w:t>
            </w:r>
          </w:p>
        </w:tc>
      </w:tr>
      <w:tr w:rsidR="00A26129" w:rsidRPr="00DA7E40" w14:paraId="294E1DE9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F67A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04F" w14:textId="7BF5457F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(18.3%)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364E" w14:textId="21277014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(7.7%)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45D9" w14:textId="3CA8E092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(20.6%)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64CE" w14:textId="598954AE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(25%)</w:t>
            </w:r>
          </w:p>
        </w:tc>
      </w:tr>
      <w:tr w:rsidR="00A26129" w:rsidRPr="00DA7E40" w14:paraId="6DAABB92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3CDA" w14:textId="77777777" w:rsidR="00A26129" w:rsidRPr="00BF1824" w:rsidRDefault="00A26129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3C6E" w14:textId="01941978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25 (21.7%)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1B82" w14:textId="63B17910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(38.5%)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1202" w14:textId="225D8AB4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47 (46.1%)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B105" w14:textId="582CE15A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(12.5%)</w:t>
            </w:r>
          </w:p>
        </w:tc>
      </w:tr>
      <w:tr w:rsidR="00A26129" w:rsidRPr="00DA7E40" w14:paraId="05394D3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B711" w14:textId="77777777" w:rsidR="00A26129" w:rsidRPr="00BF1824" w:rsidRDefault="00A26129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D7B9" w14:textId="4981888D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(3.5%)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B82A" w14:textId="2951941F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E292" w14:textId="7460A87B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19 (18.6%)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E789" w14:textId="58EC73E0" w:rsidR="00A26129" w:rsidRPr="00BF1824" w:rsidRDefault="00404304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253CD50" w14:textId="77777777" w:rsidR="00A26129" w:rsidRPr="001A79BA" w:rsidRDefault="00A26129" w:rsidP="00A261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46FF23B2" w14:textId="77777777" w:rsidR="004F5FBB" w:rsidRPr="00626572" w:rsidRDefault="004F5FBB" w:rsidP="004F5FB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A26129" w14:paraId="70CD4126" w14:textId="77777777" w:rsidTr="00FC4E39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431C1C46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28757004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C5700FA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BB5089" w14:paraId="160FB026" w14:textId="77777777" w:rsidTr="009712C6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0D492FD7" w14:textId="77777777" w:rsidR="00BB5089" w:rsidRPr="00055E42" w:rsidRDefault="00BB5089" w:rsidP="00BB5089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BBD0746" w14:textId="41663D53" w:rsidR="00BB5089" w:rsidRPr="00055E42" w:rsidRDefault="00BB5089" w:rsidP="00BB508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DCCDCCD" w14:textId="0BAF8A23" w:rsidR="00BB5089" w:rsidRPr="00055E42" w:rsidRDefault="00BB5089" w:rsidP="00BB508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73F6C2E" w14:textId="59034D66" w:rsidR="00BB5089" w:rsidRPr="00055E42" w:rsidRDefault="00BB5089" w:rsidP="00BB508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725F408" w14:textId="69E39AD7" w:rsidR="00BB5089" w:rsidRPr="00055E42" w:rsidRDefault="00BB5089" w:rsidP="00BB508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A26129" w14:paraId="0D9B65C9" w14:textId="77777777" w:rsidTr="009712C6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72E56217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4F106B6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6129" w14:paraId="4F64664A" w14:textId="77777777" w:rsidTr="009712C6">
        <w:trPr>
          <w:trHeight w:val="346"/>
        </w:trPr>
        <w:tc>
          <w:tcPr>
            <w:tcW w:w="3865" w:type="dxa"/>
            <w:vMerge w:val="restart"/>
          </w:tcPr>
          <w:p w14:paraId="1D9C988D" w14:textId="77777777" w:rsidR="00A26129" w:rsidRPr="00055E42" w:rsidRDefault="00A26129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B952C78" w14:textId="0B171410" w:rsidR="00A26129" w:rsidRPr="00055E42" w:rsidRDefault="00FC4E39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(n=15)</w:t>
            </w:r>
          </w:p>
        </w:tc>
        <w:tc>
          <w:tcPr>
            <w:tcW w:w="2070" w:type="dxa"/>
          </w:tcPr>
          <w:p w14:paraId="44D7C9DD" w14:textId="75B4467B" w:rsidR="00A26129" w:rsidRPr="00055E42" w:rsidRDefault="00FC4E39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007 (n=4)</w:t>
            </w:r>
          </w:p>
        </w:tc>
        <w:tc>
          <w:tcPr>
            <w:tcW w:w="1530" w:type="dxa"/>
            <w:vAlign w:val="center"/>
          </w:tcPr>
          <w:p w14:paraId="25680E0F" w14:textId="73DA8378" w:rsidR="00A26129" w:rsidRPr="00055E42" w:rsidRDefault="00FC4E39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018 (n=18)</w:t>
            </w:r>
          </w:p>
        </w:tc>
        <w:tc>
          <w:tcPr>
            <w:tcW w:w="1980" w:type="dxa"/>
          </w:tcPr>
          <w:p w14:paraId="23F02912" w14:textId="47943EEC" w:rsidR="00A26129" w:rsidRPr="00055E42" w:rsidRDefault="00FC4E39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016 (n=3)</w:t>
            </w:r>
          </w:p>
        </w:tc>
      </w:tr>
      <w:tr w:rsidR="00FC4E39" w14:paraId="1429B3CF" w14:textId="77777777" w:rsidTr="009712C6">
        <w:trPr>
          <w:trHeight w:val="346"/>
        </w:trPr>
        <w:tc>
          <w:tcPr>
            <w:tcW w:w="3865" w:type="dxa"/>
            <w:vMerge/>
          </w:tcPr>
          <w:p w14:paraId="59B4FB0D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F0FF738" w14:textId="670DA9BA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005 (n=14)</w:t>
            </w:r>
          </w:p>
        </w:tc>
        <w:tc>
          <w:tcPr>
            <w:tcW w:w="2070" w:type="dxa"/>
          </w:tcPr>
          <w:p w14:paraId="728BDC7C" w14:textId="241CC68F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022 (n=3)</w:t>
            </w:r>
          </w:p>
        </w:tc>
        <w:tc>
          <w:tcPr>
            <w:tcW w:w="1530" w:type="dxa"/>
            <w:vAlign w:val="center"/>
          </w:tcPr>
          <w:p w14:paraId="7A966346" w14:textId="703D96EB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008 (n=15)</w:t>
            </w:r>
          </w:p>
        </w:tc>
        <w:tc>
          <w:tcPr>
            <w:tcW w:w="1980" w:type="dxa"/>
          </w:tcPr>
          <w:p w14:paraId="766B79B9" w14:textId="52E6EF88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(n=1)</w:t>
            </w:r>
          </w:p>
        </w:tc>
      </w:tr>
      <w:tr w:rsidR="00FC4E39" w14:paraId="3063AE87" w14:textId="77777777" w:rsidTr="009712C6">
        <w:trPr>
          <w:trHeight w:val="346"/>
        </w:trPr>
        <w:tc>
          <w:tcPr>
            <w:tcW w:w="3865" w:type="dxa"/>
            <w:vMerge/>
          </w:tcPr>
          <w:p w14:paraId="1EE3BA95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179AA51" w14:textId="12352E4C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020 (n=12)</w:t>
            </w:r>
          </w:p>
        </w:tc>
        <w:tc>
          <w:tcPr>
            <w:tcW w:w="2070" w:type="dxa"/>
          </w:tcPr>
          <w:p w14:paraId="5387A424" w14:textId="23B60FA5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(n=1)</w:t>
            </w:r>
          </w:p>
        </w:tc>
        <w:tc>
          <w:tcPr>
            <w:tcW w:w="1530" w:type="dxa"/>
            <w:vAlign w:val="center"/>
          </w:tcPr>
          <w:p w14:paraId="15B0D432" w14:textId="086E55CE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010 (n=7)</w:t>
            </w:r>
          </w:p>
        </w:tc>
        <w:tc>
          <w:tcPr>
            <w:tcW w:w="1980" w:type="dxa"/>
          </w:tcPr>
          <w:p w14:paraId="3BC930D8" w14:textId="7E684764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008 (n=1)</w:t>
            </w:r>
          </w:p>
        </w:tc>
      </w:tr>
      <w:tr w:rsidR="00FC4E39" w14:paraId="22783DFA" w14:textId="77777777" w:rsidTr="009712C6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7B2B45A2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61B5AD3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C4E39" w14:paraId="2BEB06EA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79EE53D1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47127B60" w14:textId="75D298C2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51 (44.3%)</w:t>
            </w:r>
          </w:p>
        </w:tc>
        <w:tc>
          <w:tcPr>
            <w:tcW w:w="2070" w:type="dxa"/>
          </w:tcPr>
          <w:p w14:paraId="2B13F4DB" w14:textId="79483DD5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(53.8%)</w:t>
            </w:r>
          </w:p>
        </w:tc>
        <w:tc>
          <w:tcPr>
            <w:tcW w:w="1530" w:type="dxa"/>
          </w:tcPr>
          <w:p w14:paraId="37A54D60" w14:textId="2407C3AF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79 (77.5%)</w:t>
            </w:r>
          </w:p>
        </w:tc>
        <w:tc>
          <w:tcPr>
            <w:tcW w:w="1980" w:type="dxa"/>
          </w:tcPr>
          <w:p w14:paraId="5B963138" w14:textId="7056CF19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(87.5%)</w:t>
            </w:r>
          </w:p>
        </w:tc>
      </w:tr>
      <w:tr w:rsidR="00FC4E39" w14:paraId="4AA99E09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7275031D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0E057403" w14:textId="126C03C1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(13.9%)</w:t>
            </w:r>
          </w:p>
        </w:tc>
        <w:tc>
          <w:tcPr>
            <w:tcW w:w="2070" w:type="dxa"/>
          </w:tcPr>
          <w:p w14:paraId="02404FF7" w14:textId="61DAD05D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(7.7%)</w:t>
            </w:r>
          </w:p>
        </w:tc>
        <w:tc>
          <w:tcPr>
            <w:tcW w:w="1530" w:type="dxa"/>
          </w:tcPr>
          <w:p w14:paraId="78486508" w14:textId="6D0808BA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(9.8%)</w:t>
            </w:r>
          </w:p>
        </w:tc>
        <w:tc>
          <w:tcPr>
            <w:tcW w:w="1980" w:type="dxa"/>
          </w:tcPr>
          <w:p w14:paraId="0C58EDDB" w14:textId="6C3BA3A7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(12.5%)</w:t>
            </w:r>
          </w:p>
        </w:tc>
      </w:tr>
      <w:tr w:rsidR="00FC4E39" w14:paraId="0D7AA713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682090F0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446546F1" w14:textId="1359FBB3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48 (41.7%)</w:t>
            </w:r>
          </w:p>
        </w:tc>
        <w:tc>
          <w:tcPr>
            <w:tcW w:w="2070" w:type="dxa"/>
          </w:tcPr>
          <w:p w14:paraId="7C5F59C6" w14:textId="09914F03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(38.5%)</w:t>
            </w:r>
          </w:p>
        </w:tc>
        <w:tc>
          <w:tcPr>
            <w:tcW w:w="1530" w:type="dxa"/>
          </w:tcPr>
          <w:p w14:paraId="7103F30B" w14:textId="3895805A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(12.7%)</w:t>
            </w:r>
          </w:p>
        </w:tc>
        <w:tc>
          <w:tcPr>
            <w:tcW w:w="1980" w:type="dxa"/>
          </w:tcPr>
          <w:p w14:paraId="3F8FDF69" w14:textId="4702206C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C4E39" w14:paraId="34D5FEA5" w14:textId="77777777" w:rsidTr="009712C6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356834E8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9C27A2D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C4E39" w14:paraId="52814965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1096C1CE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0295C8B7" w14:textId="65D65140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82 (71.3%)</w:t>
            </w:r>
          </w:p>
        </w:tc>
        <w:tc>
          <w:tcPr>
            <w:tcW w:w="2070" w:type="dxa"/>
          </w:tcPr>
          <w:p w14:paraId="4741D5E5" w14:textId="7B9C1A41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(100%)</w:t>
            </w:r>
          </w:p>
        </w:tc>
        <w:tc>
          <w:tcPr>
            <w:tcW w:w="1530" w:type="dxa"/>
          </w:tcPr>
          <w:p w14:paraId="43B77BA0" w14:textId="6319C927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70 (68.6%)</w:t>
            </w:r>
          </w:p>
        </w:tc>
        <w:tc>
          <w:tcPr>
            <w:tcW w:w="1980" w:type="dxa"/>
          </w:tcPr>
          <w:p w14:paraId="710E73E7" w14:textId="7F576FF4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(100%)</w:t>
            </w:r>
          </w:p>
        </w:tc>
      </w:tr>
      <w:tr w:rsidR="00FC4E39" w14:paraId="7E22B065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44E997DC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5073A98A" w14:textId="6C52B755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(17.4%)</w:t>
            </w:r>
          </w:p>
        </w:tc>
        <w:tc>
          <w:tcPr>
            <w:tcW w:w="2070" w:type="dxa"/>
          </w:tcPr>
          <w:p w14:paraId="003BEC14" w14:textId="2EA83908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15DC5FAF" w14:textId="3BF4D47A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(17.6%)</w:t>
            </w:r>
          </w:p>
        </w:tc>
        <w:tc>
          <w:tcPr>
            <w:tcW w:w="1980" w:type="dxa"/>
          </w:tcPr>
          <w:p w14:paraId="424F7AB1" w14:textId="586EE0FF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C4E39" w14:paraId="0F1ECAE6" w14:textId="77777777" w:rsidTr="009712C6">
        <w:trPr>
          <w:trHeight w:val="346"/>
        </w:trPr>
        <w:tc>
          <w:tcPr>
            <w:tcW w:w="3865" w:type="dxa"/>
            <w:vAlign w:val="center"/>
          </w:tcPr>
          <w:p w14:paraId="13D60BC7" w14:textId="77777777" w:rsidR="00FC4E39" w:rsidRPr="00055E42" w:rsidRDefault="00FC4E39" w:rsidP="00FC4E39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158E9927" w14:textId="1B4C2277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(11.3%)</w:t>
            </w:r>
          </w:p>
        </w:tc>
        <w:tc>
          <w:tcPr>
            <w:tcW w:w="2070" w:type="dxa"/>
          </w:tcPr>
          <w:p w14:paraId="1A962810" w14:textId="6FBEFB9F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0D8BBED0" w14:textId="62E294CA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14 (13.7%)</w:t>
            </w:r>
          </w:p>
        </w:tc>
        <w:tc>
          <w:tcPr>
            <w:tcW w:w="1980" w:type="dxa"/>
          </w:tcPr>
          <w:p w14:paraId="4523F29A" w14:textId="30BA6C22" w:rsidR="00FC4E39" w:rsidRPr="00055E42" w:rsidRDefault="00FC4E39" w:rsidP="00FC4E3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B5AA1F0" w14:textId="77777777" w:rsidR="00A26129" w:rsidRDefault="00A26129" w:rsidP="00A26129">
      <w:pPr>
        <w:rPr>
          <w:rFonts w:ascii="Times New Roman" w:hAnsi="Times New Roman" w:cs="Times New Roman"/>
          <w:sz w:val="22"/>
          <w:szCs w:val="22"/>
        </w:rPr>
      </w:pPr>
    </w:p>
    <w:p w14:paraId="45093868" w14:textId="77777777" w:rsidR="004F5FBB" w:rsidRPr="00626572" w:rsidRDefault="004F5FBB" w:rsidP="004F5FB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49C197A6" w14:textId="77777777" w:rsidR="00A26129" w:rsidRPr="000D7308" w:rsidRDefault="00A26129" w:rsidP="00A261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6C6A176E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1002"  "HGS 1003"  "HGS 1004"  "HGS 1005"  "HGS 1013"  "HGS 1015" "HGS1025"   "HGS 1026"  "HGS1027"   </w:t>
      </w:r>
    </w:p>
    <w:p w14:paraId="04553E29" w14:textId="553E5B86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1034"  "HGS 1037"  "HGS 1038" "HGS 1043"  "HGS 1044"  "HGS 1045"  "HGS 1046"  "HGS 1048"  "HGS 1049" </w:t>
      </w:r>
    </w:p>
    <w:p w14:paraId="791863BF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1050"  "HGS 1056"  "HGS 1059"  "HGS 1062"  "HGS 1064"  "HGS 1074" "HGS 1075"  "HGS 1078"  "HGS 1083"  </w:t>
      </w:r>
    </w:p>
    <w:p w14:paraId="21E0C987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1084"  "HGS 1085"  "HGS 1090" "HGS 1091"  "HGS 1094"  "HGS 1097"  "HGS 1098"  "HGS 1101"  "HGS 1102" </w:t>
      </w:r>
    </w:p>
    <w:p w14:paraId="5F6D7A0E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lastRenderedPageBreak/>
        <w:t xml:space="preserve">"HGS 1104"  "HGS 1105"  "HGS 1106"  "HGS 1108"  "HGS 1109"  "HGS 1111" "HGS 1114"  "HGS 1115"  "HGS 1117"  </w:t>
      </w:r>
    </w:p>
    <w:p w14:paraId="6A619F5E" w14:textId="05F04E5F" w:rsidR="008E41AE" w:rsidRPr="008E41AE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1118"  "HGS 1129"  "HGS 1133" "HGS 1134"  "HGS 1136"  "HGS 1140"  "HGS 1148"  "HGS 1149"  "HGS 1153" </w:t>
      </w:r>
    </w:p>
    <w:p w14:paraId="349E35DB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1155"  "HGS 1156"  "HGS 1159"  "HGS 1160"  "HGS 1164"  "HGS 1168" "HGS 1169"  "HGS 1174"  </w:t>
      </w:r>
    </w:p>
    <w:p w14:paraId="3AEE370E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1177"  "HGS 1183"  "HGS 1184"  "HGS 1185" "HGS 1193"  "HGS 1195"  "HGS 1196"  "HGS 1202"  "HGS 1203"  </w:t>
      </w:r>
    </w:p>
    <w:p w14:paraId="4BAA02BD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1214" "HGS 1221"  "HGS 1223"  "HGS 1224"  "HGS 1228"  "HGS 1230"  "HGS 1231" "HGSP 1233" "HGS 1235"  </w:t>
      </w:r>
    </w:p>
    <w:p w14:paraId="2576429D" w14:textId="77777777" w:rsidR="00D604F0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 xml:space="preserve">"HGS 1240"  "HGS 1259"  "HGS 1265"  "HGS 1270" "HGS 1272"  "HGS 1273"  "HGS 1275"  "HGS 1281"  "HGS 1285"  </w:t>
      </w:r>
    </w:p>
    <w:p w14:paraId="4841AD06" w14:textId="51C0B17F" w:rsidR="00A26129" w:rsidRDefault="008E41AE" w:rsidP="008E41AE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E41AE">
        <w:rPr>
          <w:rFonts w:eastAsia="Arial"/>
          <w:color w:val="000000" w:themeColor="text1"/>
          <w:sz w:val="20"/>
          <w:szCs w:val="20"/>
        </w:rPr>
        <w:t>"HGS 1286" "HGS 1288"  "HGS 1300"  "HGS 1304"  "HGS 1306"  "HGS 1314"  "HGS 1318" "HGS 1320"  "HGS 1321"</w:t>
      </w:r>
    </w:p>
    <w:p w14:paraId="1A97A66F" w14:textId="77777777" w:rsidR="00A26129" w:rsidRDefault="00A26129" w:rsidP="00A26129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6D8AF57" w14:textId="77777777" w:rsidR="00A26129" w:rsidRPr="000D7308" w:rsidRDefault="00A26129" w:rsidP="00A26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01CB6D3C" w14:textId="77777777" w:rsidR="00A26129" w:rsidRDefault="00A26129" w:rsidP="00A2612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742A34FD" w14:textId="77777777" w:rsidR="00A26129" w:rsidRDefault="00A26129" w:rsidP="00A2612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3FD5D6" w14:textId="77777777" w:rsidR="00A26129" w:rsidRDefault="00A26129" w:rsidP="00A26129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5FB29D1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7FFDCE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C38C198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867C480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FEA4C14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A754C1E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0F6053A" w14:textId="77777777" w:rsidR="00A26129" w:rsidRDefault="00A26129" w:rsidP="00A26129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79332BF4" w14:textId="77777777" w:rsidR="00A26129" w:rsidRPr="00D7271F" w:rsidRDefault="00A26129" w:rsidP="00A2612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B2A1E16" w14:textId="77777777" w:rsidR="00A26129" w:rsidRDefault="00A26129" w:rsidP="00A26129">
      <w:pPr>
        <w:rPr>
          <w:rFonts w:ascii="Times New Roman" w:hAnsi="Times New Roman" w:cs="Times New Roman"/>
          <w:sz w:val="22"/>
          <w:szCs w:val="22"/>
        </w:rPr>
      </w:pPr>
    </w:p>
    <w:p w14:paraId="59D10D54" w14:textId="77777777" w:rsidR="00A26129" w:rsidRPr="00EC4EEF" w:rsidRDefault="00A26129" w:rsidP="00A26129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43F93977" w14:textId="7FAF628C" w:rsidR="00A26129" w:rsidRPr="001F1E90" w:rsidRDefault="00A26129" w:rsidP="00A26129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081BD8">
        <w:rPr>
          <w:rFonts w:ascii="Calibri" w:hAnsi="Calibri" w:cs="Calibri"/>
          <w:b/>
          <w:bCs/>
        </w:rPr>
        <w:t>worse than</w:t>
      </w:r>
      <w:r w:rsidR="003B606E"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However, </w:t>
      </w:r>
      <w:r w:rsidRPr="005F1886">
        <w:rPr>
          <w:rFonts w:ascii="Calibri" w:hAnsi="Calibri" w:cs="Calibri"/>
          <w:b/>
          <w:bCs/>
        </w:rPr>
        <w:t>your site has shown improvement</w:t>
      </w:r>
      <w:r w:rsidR="00081BD8">
        <w:rPr>
          <w:rFonts w:ascii="Calibri" w:hAnsi="Calibri" w:cs="Calibri"/>
        </w:rPr>
        <w:t>.</w:t>
      </w:r>
      <w:r w:rsidRPr="001F1E90">
        <w:rPr>
          <w:rFonts w:ascii="Calibri" w:hAnsi="Calibri" w:cs="Calibri"/>
        </w:rPr>
        <w:t xml:space="preserve"> Additional comments: </w:t>
      </w:r>
    </w:p>
    <w:p w14:paraId="4B1E5DED" w14:textId="77777777" w:rsidR="00A26129" w:rsidRPr="001F1E90" w:rsidRDefault="00A26129" w:rsidP="00A26129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65A10CDA" w14:textId="0A041EF7" w:rsidR="00081BD8" w:rsidRPr="00081BD8" w:rsidRDefault="00081BD8" w:rsidP="00081BD8">
      <w:pPr>
        <w:pStyle w:val="ListParagraph"/>
        <w:numPr>
          <w:ilvl w:val="0"/>
          <w:numId w:val="8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Down trend in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inappropriate diagnosis of UTI measure: 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site has decreased from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47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% last report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44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 this report - this is a positive trend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Would continue to work on decreasing this metric.</w:t>
      </w:r>
    </w:p>
    <w:p w14:paraId="6473668B" w14:textId="5A07FC5B" w:rsidR="00081BD8" w:rsidRPr="00745FCE" w:rsidRDefault="00081BD8" w:rsidP="00081BD8">
      <w:pPr>
        <w:pStyle w:val="ListParagraph"/>
        <w:numPr>
          <w:ilvl w:val="0"/>
          <w:numId w:val="8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EAEECE2" w14:textId="26B40C53" w:rsidR="00081BD8" w:rsidRPr="00745FCE" w:rsidRDefault="00081BD8" w:rsidP="00081BD8">
      <w:pPr>
        <w:pStyle w:val="ListParagraph"/>
        <w:numPr>
          <w:ilvl w:val="0"/>
          <w:numId w:val="8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nitrofurantoin and narrow spectrum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cephalosporin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F766358" w14:textId="77777777" w:rsidR="00A26129" w:rsidRDefault="00A26129" w:rsidP="00A26129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7D054726" w14:textId="1263DA7B" w:rsidR="00081BD8" w:rsidRPr="00745FCE" w:rsidRDefault="00081BD8" w:rsidP="00081BD8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Performing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worse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than average in the inappropriate diagnosis of UTI measure: 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site has decreased from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47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% last report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44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 this report - this is a positive trend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However, this percentage is still higher than the rest of the cohort.</w:t>
      </w:r>
    </w:p>
    <w:p w14:paraId="3B9DB99E" w14:textId="7D67B6DC" w:rsidR="00081BD8" w:rsidRPr="00081BD8" w:rsidRDefault="00081BD8" w:rsidP="00081BD8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</w:t>
      </w: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igh </w:t>
      </w: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</w:t>
      </w: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reatment </w:t>
      </w: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rate </w:t>
      </w: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of ASB: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mongst the patients that have ASB, your clinicians are still wanting to treat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the majority of</w:t>
      </w:r>
      <w:proofErr w:type="gramEnd"/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cases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89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%). Would recommend focusing on this. If convincing clinicians to stop prescribing antibiotics for ASB is a challenge at your hospital, it might be easier to convince them to prescribe short </w:t>
      </w:r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durations (</w:t>
      </w:r>
      <w:proofErr w:type="spellStart"/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 w:rsidRPr="00081BD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days). This might be a compromise or intermediate step to get clinicians comfortable with less antibiotics for these patients.</w:t>
      </w:r>
      <w:r w:rsidRPr="00081BD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B5A1C0B" w14:textId="2407DA23" w:rsidR="00081BD8" w:rsidRDefault="00081BD8" w:rsidP="00081BD8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  <w:sz w:val="22"/>
          <w:szCs w:val="22"/>
        </w:rPr>
      </w:pPr>
      <w:r w:rsidRPr="00081BD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prevalence rate of ASB:</w:t>
      </w:r>
      <w:r w:rsidRPr="00081BD8">
        <w:rPr>
          <w:rStyle w:val="eop"/>
          <w:rFonts w:ascii="Calibri" w:hAnsi="Calibri" w:cs="Calibri"/>
          <w:sz w:val="22"/>
          <w:szCs w:val="22"/>
        </w:rPr>
        <w:t xml:space="preserve"> a little under </w:t>
      </w:r>
      <w:r>
        <w:rPr>
          <w:rStyle w:val="eop"/>
          <w:rFonts w:ascii="Calibri" w:hAnsi="Calibri" w:cs="Calibri"/>
          <w:sz w:val="22"/>
          <w:szCs w:val="22"/>
        </w:rPr>
        <w:t>half of the patients with positive urine cultures obtained at your site are asymptomatic. Would continue to focus on diagnostic stewardship.</w:t>
      </w:r>
    </w:p>
    <w:p w14:paraId="2A3A3B17" w14:textId="0AFD3481" w:rsidR="00081BD8" w:rsidRPr="005F1886" w:rsidRDefault="00081BD8" w:rsidP="00081BD8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duration: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median treatment duration for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UTIs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was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days with many cases receiving &gt;7-day treatment durations. This may be an area on which you could focus to help reduce overall antibiotic use.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A12AF9A" w14:textId="1BC14A59" w:rsidR="00081BD8" w:rsidRDefault="00081BD8" w:rsidP="00081BD8">
      <w:pPr>
        <w:ind w:left="360"/>
      </w:pPr>
    </w:p>
    <w:sectPr w:rsidR="00081BD8" w:rsidSect="00A26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7"/>
  </w:num>
  <w:num w:numId="2" w16cid:durableId="1479179186">
    <w:abstractNumId w:val="4"/>
  </w:num>
  <w:num w:numId="3" w16cid:durableId="642777174">
    <w:abstractNumId w:val="6"/>
  </w:num>
  <w:num w:numId="4" w16cid:durableId="87503233">
    <w:abstractNumId w:val="3"/>
  </w:num>
  <w:num w:numId="5" w16cid:durableId="1625503733">
    <w:abstractNumId w:val="0"/>
  </w:num>
  <w:num w:numId="6" w16cid:durableId="181286240">
    <w:abstractNumId w:val="1"/>
  </w:num>
  <w:num w:numId="7" w16cid:durableId="745568731">
    <w:abstractNumId w:val="2"/>
  </w:num>
  <w:num w:numId="8" w16cid:durableId="599875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29"/>
    <w:rsid w:val="00081BD8"/>
    <w:rsid w:val="00314DC1"/>
    <w:rsid w:val="003B606E"/>
    <w:rsid w:val="00404304"/>
    <w:rsid w:val="004B48F0"/>
    <w:rsid w:val="004F5FBB"/>
    <w:rsid w:val="00642FF8"/>
    <w:rsid w:val="007011E8"/>
    <w:rsid w:val="00721E33"/>
    <w:rsid w:val="008E41AE"/>
    <w:rsid w:val="008F0B1D"/>
    <w:rsid w:val="00916421"/>
    <w:rsid w:val="009712C6"/>
    <w:rsid w:val="009759DE"/>
    <w:rsid w:val="0098715D"/>
    <w:rsid w:val="00A26129"/>
    <w:rsid w:val="00B047EA"/>
    <w:rsid w:val="00B94250"/>
    <w:rsid w:val="00BB5089"/>
    <w:rsid w:val="00BE6E85"/>
    <w:rsid w:val="00C64AB7"/>
    <w:rsid w:val="00CC0D9B"/>
    <w:rsid w:val="00D604F0"/>
    <w:rsid w:val="00E0406C"/>
    <w:rsid w:val="00E274D6"/>
    <w:rsid w:val="00E5382E"/>
    <w:rsid w:val="00ED7E2F"/>
    <w:rsid w:val="00F71A3F"/>
    <w:rsid w:val="00F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458"/>
  <w15:chartTrackingRefBased/>
  <w15:docId w15:val="{31DCAC4A-91C8-2D4F-9592-F680C04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9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26129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A26129"/>
    <w:rPr>
      <w:kern w:val="0"/>
      <w14:ligatures w14:val="none"/>
    </w:rPr>
  </w:style>
  <w:style w:type="table" w:customStyle="1" w:styleId="Table">
    <w:name w:val="Table"/>
    <w:semiHidden/>
    <w:unhideWhenUsed/>
    <w:qFormat/>
    <w:rsid w:val="00A26129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A2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261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26129"/>
  </w:style>
  <w:style w:type="character" w:customStyle="1" w:styleId="eop">
    <w:name w:val="eop"/>
    <w:basedOn w:val="DefaultParagraphFont"/>
    <w:rsid w:val="00A2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41</cp:revision>
  <dcterms:created xsi:type="dcterms:W3CDTF">2024-07-10T17:17:00Z</dcterms:created>
  <dcterms:modified xsi:type="dcterms:W3CDTF">2024-07-16T20:16:00Z</dcterms:modified>
</cp:coreProperties>
</file>