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420" w:firstRow="1" w:lastRow="0" w:firstColumn="0" w:lastColumn="0" w:noHBand="0" w:noVBand="1"/>
      </w:tblPr>
      <w:tblGrid>
        <w:gridCol w:w="8640"/>
      </w:tblGrid>
      <w:tr w:rsidR="00ED1068" w:rsidRPr="00ED1068" w14:paraId="300B4C5E" w14:textId="77777777" w:rsidTr="00216332">
        <w:trPr>
          <w:jc w:val="center"/>
        </w:trPr>
        <w:tc>
          <w:tcPr>
            <w:tcW w:w="8640" w:type="dxa"/>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091AF9F"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ED1068">
              <w:rPr>
                <w:rFonts w:ascii="Arial" w:eastAsia="Arial" w:hAnsi="Arial" w:cs="Arial"/>
                <w:color w:val="000000"/>
              </w:rPr>
              <w:t>Harney District Hospital FINAL Asymptomatic Bacteriuria Report (8/22/23)</w:t>
            </w:r>
          </w:p>
        </w:tc>
      </w:tr>
    </w:tbl>
    <w:p w14:paraId="3C7D7150" w14:textId="77777777" w:rsidR="00ED1068" w:rsidRPr="00ED1068" w:rsidRDefault="00ED1068" w:rsidP="00ED1068">
      <w:pPr>
        <w:keepNext/>
        <w:keepLines/>
        <w:spacing w:before="60"/>
        <w:jc w:val="center"/>
        <w:rPr>
          <w:rFonts w:ascii="Cambria" w:eastAsia="Cambria" w:hAnsi="Cambria" w:cs="Times New Roman"/>
        </w:rPr>
      </w:pPr>
      <w:r w:rsidRPr="00ED1068">
        <w:rPr>
          <w:rFonts w:ascii="Cambria" w:eastAsia="Cambria" w:hAnsi="Cambria" w:cs="Times New Roman"/>
          <w:noProof/>
        </w:rPr>
        <w:drawing>
          <wp:inline distT="0" distB="0" distL="0" distR="0" wp14:anchorId="0E0C1499" wp14:editId="007EE86F">
            <wp:extent cx="3581400" cy="2865136"/>
            <wp:effectExtent l="0" t="0" r="0" b="0"/>
            <wp:docPr id="33" name="Picture 33" descr="A graph of different types of bacteri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A graph of different types of bacteria&#10;&#10;Description automatically generated with medium confidence"/>
                    <pic:cNvPicPr>
                      <a:picLocks noChangeAspect="1" noChangeArrowheads="1"/>
                    </pic:cNvPicPr>
                  </pic:nvPicPr>
                  <pic:blipFill>
                    <a:blip r:embed="rId4" cstate="print"/>
                    <a:stretch>
                      <a:fillRect/>
                    </a:stretch>
                  </pic:blipFill>
                  <pic:spPr bwMode="auto">
                    <a:xfrm>
                      <a:off x="0" y="0"/>
                      <a:ext cx="49946" cy="39957"/>
                    </a:xfrm>
                    <a:prstGeom prst="rect">
                      <a:avLst/>
                    </a:prstGeom>
                    <a:noFill/>
                  </pic:spPr>
                </pic:pic>
              </a:graphicData>
            </a:graphic>
          </wp:inline>
        </w:drawing>
      </w:r>
    </w:p>
    <w:p w14:paraId="3370E8A0" w14:textId="77777777" w:rsidR="00ED1068" w:rsidRPr="00ED1068" w:rsidRDefault="00ED1068" w:rsidP="00ED1068">
      <w:pPr>
        <w:keepNext/>
        <w:keepLines/>
        <w:spacing w:before="60"/>
        <w:jc w:val="center"/>
        <w:rPr>
          <w:rFonts w:ascii="Cambria" w:eastAsia="Cambria" w:hAnsi="Cambria" w:cs="Times New Roman"/>
        </w:rPr>
      </w:pPr>
      <w:r w:rsidRPr="00ED1068">
        <w:rPr>
          <w:rFonts w:ascii="Cambria" w:eastAsia="Cambria" w:hAnsi="Cambria" w:cs="Times New Roman"/>
          <w:b/>
          <w:bCs/>
        </w:rPr>
        <w:t>Annual Performance</w:t>
      </w:r>
      <w:r w:rsidRPr="00ED1068">
        <w:rPr>
          <w:rFonts w:ascii="Cambria" w:eastAsia="Cambria" w:hAnsi="Cambria" w:cs="Times New Roman"/>
        </w:rPr>
        <w:t>: 33.3% (11/33)</w:t>
      </w:r>
    </w:p>
    <w:p w14:paraId="0D98FE72" w14:textId="77777777" w:rsidR="00ED1068" w:rsidRPr="00ED1068" w:rsidRDefault="00ED1068" w:rsidP="00ED1068">
      <w:pPr>
        <w:keepNext/>
        <w:keepLines/>
        <w:spacing w:before="60"/>
        <w:jc w:val="center"/>
        <w:rPr>
          <w:rFonts w:ascii="Cambria" w:eastAsia="Cambria" w:hAnsi="Cambria" w:cs="Times New Roman"/>
        </w:rPr>
      </w:pPr>
      <w:r w:rsidRPr="00ED1068">
        <w:rPr>
          <w:rFonts w:ascii="Cambria" w:eastAsia="Cambria" w:hAnsi="Cambria" w:cs="Times New Roman"/>
          <w:u w:val="single"/>
        </w:rPr>
        <w:t>Average Across Hospitals</w:t>
      </w:r>
      <w:r w:rsidRPr="00ED1068">
        <w:rPr>
          <w:rFonts w:ascii="Cambria" w:eastAsia="Cambria" w:hAnsi="Cambria" w:cs="Times New Roman"/>
        </w:rPr>
        <w:t xml:space="preserve">: 28.1%; </w:t>
      </w:r>
      <w:r w:rsidRPr="00ED1068">
        <w:rPr>
          <w:rFonts w:ascii="Cambria" w:eastAsia="Cambria" w:hAnsi="Cambria" w:cs="Times New Roman"/>
          <w:u w:val="single"/>
        </w:rPr>
        <w:t>HMS Hospital Average</w:t>
      </w:r>
      <w:r w:rsidRPr="00ED1068">
        <w:rPr>
          <w:rFonts w:ascii="Cambria" w:eastAsia="Cambria" w:hAnsi="Cambria" w:cs="Times New Roman"/>
        </w:rPr>
        <w:t>: 23.2%</w:t>
      </w:r>
    </w:p>
    <w:tbl>
      <w:tblPr>
        <w:tblStyle w:val="PlainTable3"/>
        <w:tblW w:w="0" w:type="auto"/>
        <w:tblLook w:val="0600" w:firstRow="0" w:lastRow="0" w:firstColumn="0" w:lastColumn="0" w:noHBand="1" w:noVBand="1"/>
      </w:tblPr>
      <w:tblGrid>
        <w:gridCol w:w="10790"/>
      </w:tblGrid>
      <w:tr w:rsidR="00ED1068" w:rsidRPr="00ED1068" w14:paraId="049AE3E4" w14:textId="77777777" w:rsidTr="00216332">
        <w:tc>
          <w:tcPr>
            <w:tcW w:w="10790" w:type="dxa"/>
          </w:tcPr>
          <w:p w14:paraId="4166175B" w14:textId="77777777" w:rsidR="00ED1068" w:rsidRPr="00ED1068" w:rsidRDefault="00ED1068" w:rsidP="00ED1068">
            <w:pPr>
              <w:keepNext/>
              <w:keepLines/>
              <w:spacing w:before="60" w:after="0"/>
              <w:jc w:val="center"/>
              <w:rPr>
                <w:rFonts w:ascii="Arial" w:eastAsia="Cambria" w:hAnsi="Arial" w:cs="Arial"/>
                <w:sz w:val="22"/>
                <w:szCs w:val="22"/>
              </w:rPr>
            </w:pPr>
            <w:r w:rsidRPr="00ED1068">
              <w:rPr>
                <w:rFonts w:ascii="Arial" w:eastAsia="Arial" w:hAnsi="Arial" w:cs="Arial"/>
                <w:color w:val="000000"/>
                <w:sz w:val="22"/>
                <w:szCs w:val="22"/>
              </w:rPr>
              <w:t>Number of total cases (project goal 59): 33       Number of cases this month (goal 6): 0</w:t>
            </w:r>
          </w:p>
        </w:tc>
      </w:tr>
      <w:tr w:rsidR="00ED1068" w:rsidRPr="00ED1068" w14:paraId="43690CF7" w14:textId="77777777" w:rsidTr="00216332">
        <w:tc>
          <w:tcPr>
            <w:tcW w:w="10790" w:type="dxa"/>
          </w:tcPr>
          <w:p w14:paraId="45254F89" w14:textId="77777777" w:rsidR="00ED1068" w:rsidRPr="00ED1068" w:rsidRDefault="00ED1068" w:rsidP="00ED1068">
            <w:pPr>
              <w:keepNext/>
              <w:keepLines/>
              <w:spacing w:before="60" w:after="0"/>
              <w:jc w:val="center"/>
              <w:rPr>
                <w:rFonts w:ascii="Cambria" w:eastAsia="Cambria" w:hAnsi="Cambria" w:cs="Times New Roman"/>
              </w:rPr>
            </w:pPr>
            <w:r w:rsidRPr="00ED1068">
              <w:rPr>
                <w:rFonts w:ascii="Arial" w:eastAsia="Arial" w:hAnsi="Arial" w:cs="Arial"/>
                <w:color w:val="000000"/>
                <w:sz w:val="20"/>
                <w:szCs w:val="20"/>
              </w:rPr>
              <w:t>Case IDs for the last 2 months’ Treated ASB Cases: n/a</w:t>
            </w:r>
          </w:p>
        </w:tc>
      </w:tr>
    </w:tbl>
    <w:p w14:paraId="30234389" w14:textId="77777777" w:rsidR="00ED1068" w:rsidRPr="00ED1068" w:rsidRDefault="00ED1068" w:rsidP="00ED1068">
      <w:pPr>
        <w:keepNext/>
        <w:keepLines/>
        <w:spacing w:before="60"/>
        <w:rPr>
          <w:rFonts w:ascii="Arial" w:eastAsia="Cambria" w:hAnsi="Arial" w:cs="Arial"/>
          <w:b/>
          <w:bCs/>
          <w:sz w:val="22"/>
          <w:szCs w:val="22"/>
          <w:u w:val="single"/>
        </w:rPr>
      </w:pPr>
      <w:r w:rsidRPr="00ED1068">
        <w:rPr>
          <w:rFonts w:ascii="Arial" w:eastAsia="Cambria" w:hAnsi="Arial" w:cs="Arial"/>
          <w:noProof/>
          <w:sz w:val="22"/>
          <w:szCs w:val="22"/>
        </w:rPr>
        <w:drawing>
          <wp:anchor distT="0" distB="0" distL="114300" distR="114300" simplePos="0" relativeHeight="251659264" behindDoc="0" locked="0" layoutInCell="1" allowOverlap="1" wp14:anchorId="1FA79C4E" wp14:editId="7C2415BB">
            <wp:simplePos x="0" y="0"/>
            <wp:positionH relativeFrom="column">
              <wp:posOffset>3909060</wp:posOffset>
            </wp:positionH>
            <wp:positionV relativeFrom="paragraph">
              <wp:posOffset>107950</wp:posOffset>
            </wp:positionV>
            <wp:extent cx="3048000" cy="2749550"/>
            <wp:effectExtent l="0" t="0" r="0" b="0"/>
            <wp:wrapSquare wrapText="bothSides"/>
            <wp:docPr id="1515270225" name="Picture 11"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70225" name="Picture 11" descr="A graph of a number of patients&#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749550"/>
                    </a:xfrm>
                    <a:prstGeom prst="rect">
                      <a:avLst/>
                    </a:prstGeom>
                    <a:noFill/>
                  </pic:spPr>
                </pic:pic>
              </a:graphicData>
            </a:graphic>
          </wp:anchor>
        </w:drawing>
      </w:r>
    </w:p>
    <w:p w14:paraId="53E2B682" w14:textId="77777777" w:rsidR="00ED1068" w:rsidRPr="00ED1068" w:rsidRDefault="00ED1068" w:rsidP="00ED1068">
      <w:pPr>
        <w:keepNext/>
        <w:keepLines/>
        <w:spacing w:after="0"/>
        <w:rPr>
          <w:rFonts w:ascii="Cambria" w:eastAsia="Cambria" w:hAnsi="Cambria" w:cs="Times New Roman"/>
        </w:rPr>
      </w:pPr>
      <w:r w:rsidRPr="00ED1068">
        <w:rPr>
          <w:rFonts w:ascii="Arial" w:eastAsia="Cambria" w:hAnsi="Arial" w:cs="Arial"/>
          <w:b/>
          <w:bCs/>
          <w:sz w:val="22"/>
          <w:szCs w:val="22"/>
          <w:u w:val="single"/>
        </w:rPr>
        <w:t>Fluoroquinolone Use</w:t>
      </w:r>
      <w:r w:rsidRPr="00ED1068">
        <w:rPr>
          <w:rFonts w:ascii="Arial" w:eastAsia="Cambria" w:hAnsi="Arial" w:cs="Arial"/>
          <w:sz w:val="22"/>
          <w:szCs w:val="22"/>
        </w:rPr>
        <w:t xml:space="preserve">: </w:t>
      </w:r>
    </w:p>
    <w:p w14:paraId="3B808DF7" w14:textId="77777777" w:rsidR="00ED1068" w:rsidRPr="00ED1068" w:rsidRDefault="00ED1068" w:rsidP="00ED1068">
      <w:pPr>
        <w:keepNext/>
        <w:keepLines/>
        <w:spacing w:after="0"/>
        <w:rPr>
          <w:rFonts w:ascii="Arial" w:eastAsia="Cambria" w:hAnsi="Arial" w:cs="Arial"/>
          <w:sz w:val="22"/>
          <w:szCs w:val="22"/>
        </w:rPr>
      </w:pPr>
      <w:r w:rsidRPr="00ED1068">
        <w:rPr>
          <w:rFonts w:ascii="Arial" w:eastAsia="Cambria" w:hAnsi="Arial" w:cs="Arial"/>
          <w:sz w:val="22"/>
          <w:szCs w:val="22"/>
        </w:rPr>
        <w:t>“</w:t>
      </w:r>
      <w:r w:rsidRPr="00ED1068">
        <w:rPr>
          <w:rFonts w:ascii="Arial" w:eastAsia="Cambria" w:hAnsi="Arial" w:cs="Arial"/>
          <w:i/>
          <w:iCs/>
          <w:sz w:val="22"/>
          <w:szCs w:val="22"/>
        </w:rPr>
        <w:t>Potentially justified</w:t>
      </w:r>
      <w:r w:rsidRPr="00ED1068">
        <w:rPr>
          <w:rFonts w:ascii="Arial" w:eastAsia="Cambria" w:hAnsi="Arial" w:cs="Arial"/>
          <w:sz w:val="22"/>
          <w:szCs w:val="22"/>
        </w:rPr>
        <w:t>” is defined as:</w:t>
      </w:r>
    </w:p>
    <w:p w14:paraId="4DD3166B" w14:textId="77777777" w:rsidR="00ED1068" w:rsidRPr="00ED1068" w:rsidRDefault="00ED1068" w:rsidP="00ED1068">
      <w:pPr>
        <w:keepNext/>
        <w:keepLines/>
        <w:spacing w:after="0"/>
        <w:rPr>
          <w:rFonts w:ascii="Arial" w:eastAsia="Cambria" w:hAnsi="Arial" w:cs="Arial"/>
          <w:sz w:val="22"/>
          <w:szCs w:val="22"/>
        </w:rPr>
      </w:pPr>
      <w:r w:rsidRPr="00ED1068">
        <w:rPr>
          <w:rFonts w:ascii="Arial" w:eastAsia="Cambria" w:hAnsi="Arial" w:cs="Arial"/>
          <w:sz w:val="22"/>
          <w:szCs w:val="22"/>
        </w:rPr>
        <w:t xml:space="preserve">Patient had a </w:t>
      </w:r>
      <w:r w:rsidRPr="00ED1068">
        <w:rPr>
          <w:rFonts w:ascii="Arial" w:eastAsia="Cambria" w:hAnsi="Arial" w:cs="Arial"/>
          <w:sz w:val="22"/>
          <w:szCs w:val="22"/>
          <w:u w:val="single"/>
        </w:rPr>
        <w:t>fever</w:t>
      </w:r>
      <w:r w:rsidRPr="00ED1068">
        <w:rPr>
          <w:rFonts w:ascii="Arial" w:eastAsia="Cambria" w:hAnsi="Arial" w:cs="Arial"/>
          <w:sz w:val="22"/>
          <w:szCs w:val="22"/>
        </w:rPr>
        <w:t xml:space="preserve"> OR </w:t>
      </w:r>
      <w:r w:rsidRPr="00ED1068">
        <w:rPr>
          <w:rFonts w:ascii="Arial" w:eastAsia="Cambria" w:hAnsi="Arial" w:cs="Arial"/>
          <w:sz w:val="22"/>
          <w:szCs w:val="22"/>
          <w:u w:val="single"/>
        </w:rPr>
        <w:t>documented pyelonephritis</w:t>
      </w:r>
      <w:r w:rsidRPr="00ED1068">
        <w:rPr>
          <w:rFonts w:ascii="Arial" w:eastAsia="Cambria" w:hAnsi="Arial" w:cs="Arial"/>
          <w:sz w:val="22"/>
          <w:szCs w:val="22"/>
        </w:rPr>
        <w:t xml:space="preserve"> OR </w:t>
      </w:r>
      <w:r w:rsidRPr="00ED1068">
        <w:rPr>
          <w:rFonts w:ascii="Arial" w:eastAsia="Cambria" w:hAnsi="Arial" w:cs="Arial"/>
          <w:sz w:val="22"/>
          <w:szCs w:val="22"/>
          <w:u w:val="single"/>
        </w:rPr>
        <w:t>2 or more SIRS criteria</w:t>
      </w:r>
      <w:r w:rsidRPr="00ED1068">
        <w:rPr>
          <w:rFonts w:ascii="Arial" w:eastAsia="Cambria" w:hAnsi="Arial" w:cs="Arial"/>
          <w:sz w:val="22"/>
          <w:szCs w:val="22"/>
        </w:rPr>
        <w:t>. (Remaining cases treated with FQs were “</w:t>
      </w:r>
      <w:r w:rsidRPr="00ED1068">
        <w:rPr>
          <w:rFonts w:ascii="Arial" w:eastAsia="Cambria" w:hAnsi="Arial" w:cs="Arial"/>
          <w:i/>
          <w:iCs/>
          <w:sz w:val="22"/>
          <w:szCs w:val="22"/>
        </w:rPr>
        <w:t>potentially not justified</w:t>
      </w:r>
      <w:r w:rsidRPr="00ED1068">
        <w:rPr>
          <w:rFonts w:ascii="Arial" w:eastAsia="Cambria" w:hAnsi="Arial" w:cs="Arial"/>
          <w:sz w:val="22"/>
          <w:szCs w:val="22"/>
        </w:rPr>
        <w:t>”)</w:t>
      </w:r>
    </w:p>
    <w:p w14:paraId="360FF0F8" w14:textId="77777777" w:rsidR="00ED1068" w:rsidRPr="00ED1068" w:rsidRDefault="00ED1068" w:rsidP="00ED1068">
      <w:pPr>
        <w:keepNext/>
        <w:keepLines/>
        <w:spacing w:before="200"/>
        <w:rPr>
          <w:rFonts w:ascii="Arial" w:eastAsia="Cambria" w:hAnsi="Arial" w:cs="Arial"/>
          <w:sz w:val="22"/>
          <w:szCs w:val="22"/>
        </w:rPr>
      </w:pPr>
      <w:r w:rsidRPr="00ED1068">
        <w:rPr>
          <w:rFonts w:ascii="Arial" w:eastAsia="Cambria" w:hAnsi="Arial" w:cs="Arial"/>
          <w:sz w:val="22"/>
          <w:szCs w:val="22"/>
        </w:rPr>
        <w:t xml:space="preserve">For All hospitals, 112/615 (18.5%) cases received FQs; of those, 67/23 (59.8%) were potentially not justified. In other words, </w:t>
      </w:r>
      <w:r w:rsidRPr="00ED1068">
        <w:rPr>
          <w:rFonts w:ascii="Arial" w:eastAsia="Cambria" w:hAnsi="Arial" w:cs="Arial"/>
          <w:b/>
          <w:bCs/>
          <w:sz w:val="22"/>
          <w:szCs w:val="22"/>
        </w:rPr>
        <w:t>10.9% (67/615) of patients received a potentially unjustified fluoroquinolone</w:t>
      </w:r>
      <w:r w:rsidRPr="00ED1068">
        <w:rPr>
          <w:rFonts w:ascii="Arial" w:eastAsia="Cambria" w:hAnsi="Arial" w:cs="Arial"/>
          <w:sz w:val="22"/>
          <w:szCs w:val="22"/>
        </w:rPr>
        <w:t>.</w:t>
      </w:r>
    </w:p>
    <w:p w14:paraId="1C9C3BBA" w14:textId="77777777" w:rsidR="00ED1068" w:rsidRPr="00ED1068" w:rsidRDefault="00ED1068" w:rsidP="00ED1068">
      <w:pPr>
        <w:keepNext/>
        <w:keepLines/>
        <w:spacing w:after="0"/>
        <w:rPr>
          <w:rFonts w:ascii="Arial" w:eastAsia="Cambria" w:hAnsi="Arial" w:cs="Arial"/>
          <w:sz w:val="22"/>
          <w:szCs w:val="22"/>
        </w:rPr>
      </w:pPr>
      <w:r w:rsidRPr="00ED1068">
        <w:rPr>
          <w:rFonts w:ascii="Arial" w:eastAsia="Cambria" w:hAnsi="Arial" w:cs="Arial"/>
          <w:sz w:val="22"/>
          <w:szCs w:val="22"/>
        </w:rPr>
        <w:t xml:space="preserve">For your hospital 6/33(18.2%) cases received FQs; of those 4/6 (66.7%) were potentially not justified. In other words, </w:t>
      </w:r>
      <w:r w:rsidRPr="00ED1068">
        <w:rPr>
          <w:rFonts w:ascii="Arial" w:eastAsia="Cambria" w:hAnsi="Arial" w:cs="Arial"/>
          <w:b/>
          <w:bCs/>
          <w:sz w:val="22"/>
          <w:szCs w:val="22"/>
        </w:rPr>
        <w:t>12.1% (4/33) of patients received a potentially unjustified fluoroquinolone</w:t>
      </w:r>
      <w:r w:rsidRPr="00ED1068">
        <w:rPr>
          <w:rFonts w:ascii="Arial" w:eastAsia="Cambria" w:hAnsi="Arial" w:cs="Arial"/>
          <w:sz w:val="22"/>
          <w:szCs w:val="22"/>
        </w:rPr>
        <w:t>. The HMS average is 7%.</w:t>
      </w:r>
    </w:p>
    <w:tbl>
      <w:tblPr>
        <w:tblW w:w="11520" w:type="dxa"/>
        <w:jc w:val="center"/>
        <w:tblLayout w:type="fixed"/>
        <w:tblLook w:val="0420" w:firstRow="1" w:lastRow="0" w:firstColumn="0" w:lastColumn="0" w:noHBand="0" w:noVBand="1"/>
      </w:tblPr>
      <w:tblGrid>
        <w:gridCol w:w="2520"/>
        <w:gridCol w:w="2520"/>
        <w:gridCol w:w="2970"/>
        <w:gridCol w:w="3510"/>
      </w:tblGrid>
      <w:tr w:rsidR="00ED1068" w:rsidRPr="00ED1068" w14:paraId="55BCCB27" w14:textId="77777777" w:rsidTr="00216332">
        <w:trPr>
          <w:jc w:val="center"/>
        </w:trPr>
        <w:tc>
          <w:tcPr>
            <w:tcW w:w="11520" w:type="dxa"/>
            <w:gridSpan w:val="4"/>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30AC1C0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p>
        </w:tc>
      </w:tr>
      <w:tr w:rsidR="00ED1068" w:rsidRPr="00ED1068" w14:paraId="63775C31" w14:textId="77777777" w:rsidTr="00216332">
        <w:trPr>
          <w:tblHeader/>
          <w:jc w:val="center"/>
        </w:trPr>
        <w:tc>
          <w:tcPr>
            <w:tcW w:w="11520" w:type="dxa"/>
            <w:gridSpan w:val="4"/>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CA8C5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ED1068">
              <w:rPr>
                <w:rFonts w:ascii="Arial" w:eastAsia="Arial" w:hAnsi="Arial" w:cs="Arial"/>
                <w:b/>
                <w:color w:val="000000"/>
                <w:sz w:val="20"/>
                <w:szCs w:val="20"/>
              </w:rPr>
              <w:t xml:space="preserve">Table 1: </w:t>
            </w:r>
            <w:r w:rsidRPr="00ED1068">
              <w:rPr>
                <w:rFonts w:ascii="Arial" w:eastAsia="Arial" w:hAnsi="Arial" w:cs="Arial"/>
                <w:bCs/>
                <w:color w:val="000000"/>
                <w:sz w:val="20"/>
                <w:szCs w:val="20"/>
              </w:rPr>
              <w:t>Three most Common Antibiotics for Empiric and Discharge comparing UTI &amp; ASB (Entire Year)</w:t>
            </w:r>
          </w:p>
        </w:tc>
      </w:tr>
      <w:tr w:rsidR="00ED1068" w:rsidRPr="00ED1068" w14:paraId="23A57117" w14:textId="77777777" w:rsidTr="00ED1068">
        <w:trPr>
          <w:tblHeader/>
          <w:jc w:val="center"/>
        </w:trPr>
        <w:tc>
          <w:tcPr>
            <w:tcW w:w="504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518BB8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Empiric</w:t>
            </w:r>
          </w:p>
        </w:tc>
        <w:tc>
          <w:tcPr>
            <w:tcW w:w="648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50DF5AA6"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Discharge</w:t>
            </w:r>
          </w:p>
        </w:tc>
      </w:tr>
      <w:tr w:rsidR="00ED1068" w:rsidRPr="00ED1068" w14:paraId="696F7F28" w14:textId="77777777" w:rsidTr="00216332">
        <w:trPr>
          <w:tblHeader/>
          <w:jc w:val="center"/>
        </w:trPr>
        <w:tc>
          <w:tcPr>
            <w:tcW w:w="25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F0509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UTI, n=22</w:t>
            </w:r>
          </w:p>
        </w:tc>
        <w:tc>
          <w:tcPr>
            <w:tcW w:w="25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5013B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ASB, n=11</w:t>
            </w:r>
          </w:p>
        </w:tc>
        <w:tc>
          <w:tcPr>
            <w:tcW w:w="297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D10EDB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UTI, n=22</w:t>
            </w:r>
          </w:p>
        </w:tc>
        <w:tc>
          <w:tcPr>
            <w:tcW w:w="35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7C0243"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ASB, n=11</w:t>
            </w:r>
          </w:p>
        </w:tc>
      </w:tr>
      <w:tr w:rsidR="00ED1068" w:rsidRPr="00ED1068" w14:paraId="7C056436" w14:textId="77777777" w:rsidTr="00216332">
        <w:trPr>
          <w:jc w:val="center"/>
        </w:trPr>
        <w:tc>
          <w:tcPr>
            <w:tcW w:w="25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6E11E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Ceftriaxone, n=5 (22.7%)</w:t>
            </w:r>
          </w:p>
        </w:tc>
        <w:tc>
          <w:tcPr>
            <w:tcW w:w="25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B27642"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Ceftriaxone, n=4 (36.4%)</w:t>
            </w:r>
          </w:p>
        </w:tc>
        <w:tc>
          <w:tcPr>
            <w:tcW w:w="297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6F8EA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Cephalexin, n=6 (27.3%)</w:t>
            </w:r>
          </w:p>
        </w:tc>
        <w:tc>
          <w:tcPr>
            <w:tcW w:w="35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BF895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Cefdinir, n=3 (27.3%)</w:t>
            </w:r>
          </w:p>
        </w:tc>
      </w:tr>
      <w:tr w:rsidR="00ED1068" w:rsidRPr="00ED1068" w14:paraId="302CFBFA" w14:textId="77777777" w:rsidTr="00216332">
        <w:trPr>
          <w:jc w:val="center"/>
        </w:trPr>
        <w:tc>
          <w:tcPr>
            <w:tcW w:w="25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E26AF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Amoxicillin, n=1 (4.5%)</w:t>
            </w:r>
          </w:p>
        </w:tc>
        <w:tc>
          <w:tcPr>
            <w:tcW w:w="25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2F8A63"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Cefdinir, n=1 (9.1%)</w:t>
            </w:r>
          </w:p>
        </w:tc>
        <w:tc>
          <w:tcPr>
            <w:tcW w:w="297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DCB20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Nitrofurantoin, n=4 (18.2%)</w:t>
            </w:r>
          </w:p>
        </w:tc>
        <w:tc>
          <w:tcPr>
            <w:tcW w:w="35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9A6D45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TMP-SMX, n=2 (18.2%)</w:t>
            </w:r>
          </w:p>
        </w:tc>
      </w:tr>
      <w:tr w:rsidR="00ED1068" w:rsidRPr="00ED1068" w14:paraId="2FD58DFC" w14:textId="77777777" w:rsidTr="00216332">
        <w:trPr>
          <w:jc w:val="center"/>
        </w:trPr>
        <w:tc>
          <w:tcPr>
            <w:tcW w:w="25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CB6EA7"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Cephalexin, n=1 (4.5%)</w:t>
            </w:r>
          </w:p>
        </w:tc>
        <w:tc>
          <w:tcPr>
            <w:tcW w:w="25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60C56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Cephalexin, n=1 (9.1%)</w:t>
            </w:r>
          </w:p>
        </w:tc>
        <w:tc>
          <w:tcPr>
            <w:tcW w:w="297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E82A862"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Cefdinir, n=3 (13.6%)</w:t>
            </w:r>
          </w:p>
        </w:tc>
        <w:tc>
          <w:tcPr>
            <w:tcW w:w="35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582A3DF"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Cephalexin, n=1 (9.1%)</w:t>
            </w:r>
          </w:p>
        </w:tc>
      </w:tr>
    </w:tbl>
    <w:p w14:paraId="2EB4CCA6" w14:textId="77777777" w:rsidR="00ED1068" w:rsidRPr="00ED1068" w:rsidRDefault="00ED1068" w:rsidP="00ED1068">
      <w:pPr>
        <w:rPr>
          <w:rFonts w:ascii="Cambria" w:eastAsia="Cambria" w:hAnsi="Cambria" w:cs="Times New Roman"/>
        </w:rPr>
      </w:pPr>
    </w:p>
    <w:tbl>
      <w:tblPr>
        <w:tblW w:w="11520" w:type="dxa"/>
        <w:jc w:val="center"/>
        <w:tblLayout w:type="fixed"/>
        <w:tblLook w:val="0420" w:firstRow="1" w:lastRow="0" w:firstColumn="0" w:lastColumn="0" w:noHBand="0" w:noVBand="1"/>
      </w:tblPr>
      <w:tblGrid>
        <w:gridCol w:w="4176"/>
        <w:gridCol w:w="2034"/>
        <w:gridCol w:w="1278"/>
        <w:gridCol w:w="2052"/>
        <w:gridCol w:w="1980"/>
      </w:tblGrid>
      <w:tr w:rsidR="00ED1068" w:rsidRPr="00ED1068" w14:paraId="673331D1" w14:textId="77777777" w:rsidTr="00216332">
        <w:trPr>
          <w:jc w:val="center"/>
        </w:trPr>
        <w:tc>
          <w:tcPr>
            <w:tcW w:w="11520" w:type="dxa"/>
            <w:gridSpan w:val="5"/>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691BB672"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ED1068">
              <w:rPr>
                <w:rFonts w:ascii="Arial" w:eastAsia="Arial" w:hAnsi="Arial" w:cs="Arial"/>
                <w:b/>
                <w:color w:val="000000"/>
                <w:sz w:val="20"/>
                <w:szCs w:val="20"/>
              </w:rPr>
              <w:lastRenderedPageBreak/>
              <w:t xml:space="preserve">Table 2: </w:t>
            </w:r>
            <w:r w:rsidRPr="00ED1068">
              <w:rPr>
                <w:rFonts w:ascii="Arial" w:eastAsia="Arial" w:hAnsi="Arial" w:cs="Arial"/>
                <w:bCs/>
                <w:color w:val="000000"/>
                <w:sz w:val="20"/>
                <w:szCs w:val="20"/>
              </w:rPr>
              <w:t>Antibiotic Duration: July vs. Prior</w:t>
            </w:r>
          </w:p>
        </w:tc>
      </w:tr>
      <w:tr w:rsidR="00ED1068" w:rsidRPr="00ED1068" w14:paraId="6E91D3D5" w14:textId="77777777" w:rsidTr="00ED1068">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320B092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312"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C6BCC8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UTI</w:t>
            </w:r>
          </w:p>
        </w:tc>
        <w:tc>
          <w:tcPr>
            <w:tcW w:w="4032"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7E9328D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ASB</w:t>
            </w:r>
          </w:p>
        </w:tc>
      </w:tr>
      <w:tr w:rsidR="00ED1068" w:rsidRPr="00ED1068" w14:paraId="07F582FA" w14:textId="77777777" w:rsidTr="00216332">
        <w:trPr>
          <w:tblHeade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B78809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b/>
                <w:color w:val="000000"/>
                <w:sz w:val="20"/>
                <w:szCs w:val="20"/>
              </w:rPr>
              <w:t>Antibiotic Duration (days)</w:t>
            </w:r>
          </w:p>
        </w:tc>
        <w:tc>
          <w:tcPr>
            <w:tcW w:w="203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EA4EE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Prior, n=22</w:t>
            </w:r>
          </w:p>
        </w:tc>
        <w:tc>
          <w:tcPr>
            <w:tcW w:w="127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E23F0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July, n=0</w:t>
            </w:r>
          </w:p>
        </w:tc>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99999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Prior, n=11</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A6BEE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July, n=0</w:t>
            </w:r>
          </w:p>
        </w:tc>
      </w:tr>
      <w:tr w:rsidR="00ED1068" w:rsidRPr="00ED1068" w14:paraId="6B6FB5AB"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AE5E00"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Total Antibiotic Duration; median (IQR)</w:t>
            </w:r>
          </w:p>
        </w:tc>
        <w:tc>
          <w:tcPr>
            <w:tcW w:w="203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59142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5.0 (5.0,9.5)</w:t>
            </w:r>
          </w:p>
        </w:tc>
        <w:tc>
          <w:tcPr>
            <w:tcW w:w="127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66A9E2"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8FFFD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7.0 (5.5,10.5)</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57CD67"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D1068" w:rsidRPr="00ED1068" w14:paraId="4380357B"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994560"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Inpatient duration; median (IQR)</w:t>
            </w:r>
          </w:p>
        </w:tc>
        <w:tc>
          <w:tcPr>
            <w:tcW w:w="203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E074F37"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1.0 (0.0,1.0)</w:t>
            </w:r>
          </w:p>
        </w:tc>
        <w:tc>
          <w:tcPr>
            <w:tcW w:w="127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76B49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F9F25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1.0 (1.0,1.0)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D3FC3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D1068" w:rsidRPr="00ED1068" w14:paraId="1211D42C"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890858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 xml:space="preserve">Discharge duration; median (IQR) </w:t>
            </w:r>
          </w:p>
        </w:tc>
        <w:tc>
          <w:tcPr>
            <w:tcW w:w="203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60523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5.0 (5.0,7.8)</w:t>
            </w:r>
          </w:p>
        </w:tc>
        <w:tc>
          <w:tcPr>
            <w:tcW w:w="127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3E88E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16007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7.0 (5.0,10.0)</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1CE88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D1068" w:rsidRPr="00ED1068" w14:paraId="4D71B036" w14:textId="77777777" w:rsidTr="00216332">
        <w:trPr>
          <w:jc w:val="center"/>
        </w:trPr>
        <w:tc>
          <w:tcPr>
            <w:tcW w:w="41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054DE3"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Number of Cases Receiving &gt;7 days; n (%)</w:t>
            </w:r>
          </w:p>
        </w:tc>
        <w:tc>
          <w:tcPr>
            <w:tcW w:w="203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89D64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7 (31.8)</w:t>
            </w:r>
          </w:p>
        </w:tc>
        <w:tc>
          <w:tcPr>
            <w:tcW w:w="127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ED5ED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205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5B64A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4 (36.4)</w:t>
            </w:r>
          </w:p>
        </w:tc>
        <w:tc>
          <w:tcPr>
            <w:tcW w:w="198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30FD4A"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bl>
    <w:p w14:paraId="1D81E787"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ED1068">
        <w:rPr>
          <w:rFonts w:ascii="Arial" w:eastAsia="Cambria" w:hAnsi="Arial" w:cs="Arial"/>
          <w:sz w:val="20"/>
          <w:szCs w:val="20"/>
        </w:rPr>
        <w:t xml:space="preserve">For all hospitals, the percent of UTIs receiving &gt;7 days was </w:t>
      </w:r>
      <w:r w:rsidRPr="00ED1068">
        <w:rPr>
          <w:rFonts w:ascii="Arial" w:eastAsia="Cambria" w:hAnsi="Arial" w:cs="Arial"/>
          <w:b/>
          <w:bCs/>
          <w:sz w:val="20"/>
          <w:szCs w:val="20"/>
        </w:rPr>
        <w:t>55.6%</w:t>
      </w:r>
      <w:r w:rsidRPr="00ED1068">
        <w:rPr>
          <w:rFonts w:ascii="Arial" w:eastAsia="Cambria" w:hAnsi="Arial" w:cs="Arial"/>
          <w:sz w:val="20"/>
          <w:szCs w:val="20"/>
        </w:rPr>
        <w:t xml:space="preserve"> (259/466); for ASB was </w:t>
      </w:r>
      <w:r w:rsidRPr="00ED1068">
        <w:rPr>
          <w:rFonts w:ascii="Arial" w:eastAsia="Cambria" w:hAnsi="Arial" w:cs="Arial"/>
          <w:b/>
          <w:bCs/>
          <w:sz w:val="20"/>
          <w:szCs w:val="20"/>
        </w:rPr>
        <w:t>44.4%</w:t>
      </w:r>
      <w:r w:rsidRPr="00ED1068">
        <w:rPr>
          <w:rFonts w:ascii="Arial" w:eastAsia="Cambria" w:hAnsi="Arial" w:cs="Arial"/>
          <w:sz w:val="20"/>
          <w:szCs w:val="20"/>
        </w:rPr>
        <w:t xml:space="preserve"> (75/169)</w:t>
      </w:r>
    </w:p>
    <w:p w14:paraId="1B9BECB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Cambria" w:hAnsi="Arial" w:cs="Arial"/>
          <w:sz w:val="20"/>
          <w:szCs w:val="20"/>
        </w:rPr>
      </w:pPr>
      <w:r w:rsidRPr="00ED1068">
        <w:rPr>
          <w:rFonts w:ascii="Arial" w:eastAsia="Cambria" w:hAnsi="Arial" w:cs="Arial"/>
          <w:sz w:val="20"/>
          <w:szCs w:val="20"/>
        </w:rPr>
        <w:t>The HMS average is 37.7% for UTI and 22.2% for ASB.</w:t>
      </w:r>
    </w:p>
    <w:tbl>
      <w:tblPr>
        <w:tblW w:w="11520" w:type="dxa"/>
        <w:jc w:val="center"/>
        <w:tblLayout w:type="fixed"/>
        <w:tblLook w:val="0420" w:firstRow="1" w:lastRow="0" w:firstColumn="0" w:lastColumn="0" w:noHBand="0" w:noVBand="1"/>
      </w:tblPr>
      <w:tblGrid>
        <w:gridCol w:w="4950"/>
        <w:gridCol w:w="1620"/>
        <w:gridCol w:w="1800"/>
        <w:gridCol w:w="1440"/>
        <w:gridCol w:w="1710"/>
      </w:tblGrid>
      <w:tr w:rsidR="00ED1068" w:rsidRPr="00ED1068" w14:paraId="7317971A" w14:textId="77777777" w:rsidTr="00216332">
        <w:trPr>
          <w:jc w:val="center"/>
        </w:trPr>
        <w:tc>
          <w:tcPr>
            <w:tcW w:w="11520" w:type="dxa"/>
            <w:gridSpan w:val="5"/>
            <w:tcBorders>
              <w:top w:val="none" w:sz="0" w:space="0" w:color="000000"/>
              <w:left w:val="none" w:sz="0" w:space="0" w:color="000000"/>
              <w:bottom w:val="none" w:sz="0" w:space="0" w:color="000000"/>
              <w:right w:val="none" w:sz="0" w:space="0" w:color="000000"/>
            </w:tcBorders>
            <w:shd w:val="clear" w:color="auto" w:fill="FFFFFF"/>
            <w:tcMar>
              <w:top w:w="0" w:type="dxa"/>
              <w:left w:w="0" w:type="dxa"/>
              <w:bottom w:w="0" w:type="dxa"/>
              <w:right w:w="0" w:type="dxa"/>
            </w:tcMar>
            <w:vAlign w:val="center"/>
          </w:tcPr>
          <w:p w14:paraId="47D473E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b/>
                <w:color w:val="000000"/>
                <w:sz w:val="20"/>
                <w:szCs w:val="20"/>
              </w:rPr>
            </w:pPr>
          </w:p>
          <w:p w14:paraId="3C6E6B4F"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before="100" w:after="100"/>
              <w:ind w:left="100" w:right="100"/>
              <w:jc w:val="center"/>
              <w:rPr>
                <w:rFonts w:ascii="Cambria" w:eastAsia="Cambria" w:hAnsi="Cambria" w:cs="Times New Roman"/>
              </w:rPr>
            </w:pPr>
            <w:r w:rsidRPr="00ED1068">
              <w:rPr>
                <w:rFonts w:ascii="Arial" w:eastAsia="Arial" w:hAnsi="Arial" w:cs="Arial"/>
                <w:b/>
                <w:color w:val="000000"/>
                <w:sz w:val="20"/>
                <w:szCs w:val="20"/>
              </w:rPr>
              <w:t xml:space="preserve">Table 3: </w:t>
            </w:r>
            <w:r w:rsidRPr="00ED1068">
              <w:rPr>
                <w:rFonts w:ascii="Arial" w:eastAsia="Arial" w:hAnsi="Arial" w:cs="Arial"/>
                <w:bCs/>
                <w:color w:val="000000"/>
                <w:sz w:val="20"/>
                <w:szCs w:val="20"/>
              </w:rPr>
              <w:t>Patient Characteristics: July vs. Prior, n (%)</w:t>
            </w:r>
          </w:p>
        </w:tc>
      </w:tr>
      <w:tr w:rsidR="00ED1068" w:rsidRPr="00ED1068" w14:paraId="434F4664" w14:textId="77777777" w:rsidTr="00ED1068">
        <w:trPr>
          <w:tblHeade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B0CC5B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p>
        </w:tc>
        <w:tc>
          <w:tcPr>
            <w:tcW w:w="342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640AE94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UTI</w:t>
            </w:r>
          </w:p>
        </w:tc>
        <w:tc>
          <w:tcPr>
            <w:tcW w:w="3150" w:type="dxa"/>
            <w:gridSpan w:val="2"/>
            <w:tcBorders>
              <w:top w:val="single" w:sz="6" w:space="0" w:color="666666"/>
              <w:left w:val="single" w:sz="6" w:space="0" w:color="666666"/>
              <w:bottom w:val="single" w:sz="6" w:space="0" w:color="666666"/>
              <w:right w:val="single" w:sz="6" w:space="0" w:color="666666"/>
            </w:tcBorders>
            <w:shd w:val="clear" w:color="auto" w:fill="95B3D7"/>
            <w:tcMar>
              <w:top w:w="0" w:type="dxa"/>
              <w:left w:w="0" w:type="dxa"/>
              <w:bottom w:w="0" w:type="dxa"/>
              <w:right w:w="0" w:type="dxa"/>
            </w:tcMar>
            <w:vAlign w:val="center"/>
          </w:tcPr>
          <w:p w14:paraId="11A35DB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ASB</w:t>
            </w:r>
          </w:p>
        </w:tc>
      </w:tr>
      <w:tr w:rsidR="00ED1068" w:rsidRPr="00ED1068" w14:paraId="292BD8C8" w14:textId="77777777" w:rsidTr="00216332">
        <w:trPr>
          <w:tblHeade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4C4F6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b/>
                <w:color w:val="000000"/>
                <w:sz w:val="20"/>
                <w:szCs w:val="20"/>
              </w:rPr>
              <w:t>Characteristics; n (%)</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18F23E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Prior, n=22</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B60DD3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July, n=0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1426D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Prior, n=11</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237427"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b/>
                <w:color w:val="000000"/>
                <w:sz w:val="20"/>
                <w:szCs w:val="20"/>
              </w:rPr>
              <w:t>July, n=0</w:t>
            </w:r>
          </w:p>
        </w:tc>
      </w:tr>
      <w:tr w:rsidR="00ED1068" w:rsidRPr="00ED1068" w14:paraId="60065427"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28379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Setting where culture obtained</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EA5C66"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E7912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B7F4F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3E3866"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p>
        </w:tc>
      </w:tr>
      <w:tr w:rsidR="00ED1068" w:rsidRPr="00ED1068" w14:paraId="02A672A6"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D757B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 xml:space="preserve">   ED, then admitted</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4D4233"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3 (13.6)</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3F1913F"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5DD4F7"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 (9.1)</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BFA83F"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515C6F5D"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89043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 xml:space="preserve">   ED, then discharged</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73E836"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18 (81.8)</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6A02082"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80BDA3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9 (81.8)</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C04D26"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2455E07F"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292457"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 xml:space="preserve">   Other</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640A7A"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 (4.5)</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F2C13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EC0F9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 (9.1)</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D1FB45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2F2A2E07"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9223C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From reflex test</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73799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22 (100.0)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0D3A3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7F93C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10 (90.9)</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54B82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65920972"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034854F"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Men</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EAD51A"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4 (18.2)</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FE497F"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656698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5 (45.5)</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C1B121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58EB3FAF"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81357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 xml:space="preserve">Age &gt;75 </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EC713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6 (27.3)</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C02F2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DE0C1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7 (63.6)</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8394A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177454F9"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F70C11"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Dementia</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96CCC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 (6.2)</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F3BD280"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07664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3 (33.3)</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7EB42F3"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39F46849"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EC8F20"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Admitted from SNF or LTAC</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3BA11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 (0.0)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9F7008"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399AEB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2 (25.0)</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D1353F"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6C86C459"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518D6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End stage renal disease</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3AAEDA2"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F6B1653"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444A03"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D8497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31756F14"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27890A"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Immune suppression</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C0FE1A"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 (6.7)</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E11180"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F691E1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 (0.0)</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B5045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7F9633F8"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1331F8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Chronic catheter use</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14CEF36"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2 (9.1)</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819F72"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CE9990"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 (9.1)</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E613E5"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20A2285E"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54B3F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Chronic urinary retention</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89FDB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 (0.0)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D6A17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FDC346"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1 (9.1)</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393B3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0F001FC4"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F36123"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Had altered mental status with or without symptoms</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E23E07"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4 (18.2)</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87262D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47ADB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2 (18.2)</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DF77B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18030027"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CF60D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Had altered mental status without signs of infection</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C3129D"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EADEA34"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FE8636"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2 (18.2)</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6F9DBC"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r w:rsidR="00ED1068" w:rsidRPr="00ED1068" w14:paraId="1964D3C6" w14:textId="77777777" w:rsidTr="00216332">
        <w:trPr>
          <w:jc w:val="center"/>
        </w:trPr>
        <w:tc>
          <w:tcPr>
            <w:tcW w:w="495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299D40"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rPr>
                <w:rFonts w:ascii="Cambria" w:eastAsia="Cambria" w:hAnsi="Cambria" w:cs="Times New Roman"/>
              </w:rPr>
            </w:pPr>
            <w:r w:rsidRPr="00ED1068">
              <w:rPr>
                <w:rFonts w:ascii="Arial" w:eastAsia="Arial" w:hAnsi="Arial" w:cs="Arial"/>
                <w:color w:val="000000"/>
                <w:sz w:val="20"/>
                <w:szCs w:val="20"/>
              </w:rPr>
              <w:t>Had &gt;=2 SIRS Criteria on any day</w:t>
            </w:r>
          </w:p>
        </w:tc>
        <w:tc>
          <w:tcPr>
            <w:tcW w:w="162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828C39"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8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4A36BB"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44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6227D7A"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c>
          <w:tcPr>
            <w:tcW w:w="17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34671E" w14:textId="77777777" w:rsidR="00ED1068" w:rsidRPr="00ED1068" w:rsidRDefault="00ED1068" w:rsidP="00ED1068">
            <w:pPr>
              <w:pBdr>
                <w:top w:val="none" w:sz="0" w:space="0" w:color="000000"/>
                <w:left w:val="none" w:sz="0" w:space="0" w:color="000000"/>
                <w:bottom w:val="none" w:sz="0" w:space="0" w:color="000000"/>
                <w:right w:val="none" w:sz="0" w:space="0" w:color="000000"/>
              </w:pBdr>
              <w:spacing w:after="0" w:line="276" w:lineRule="auto"/>
              <w:ind w:left="101" w:right="101"/>
              <w:jc w:val="center"/>
              <w:rPr>
                <w:rFonts w:ascii="Cambria" w:eastAsia="Cambria" w:hAnsi="Cambria" w:cs="Times New Roman"/>
              </w:rPr>
            </w:pPr>
            <w:r w:rsidRPr="00ED1068">
              <w:rPr>
                <w:rFonts w:ascii="Arial" w:eastAsia="Arial" w:hAnsi="Arial" w:cs="Arial"/>
                <w:color w:val="000000"/>
                <w:sz w:val="20"/>
                <w:szCs w:val="20"/>
              </w:rPr>
              <w:t>0</w:t>
            </w:r>
          </w:p>
        </w:tc>
      </w:tr>
    </w:tbl>
    <w:p w14:paraId="4C1D1FBB" w14:textId="77777777" w:rsidR="00ED1068" w:rsidRPr="00ED1068" w:rsidRDefault="00ED1068" w:rsidP="00ED1068">
      <w:pPr>
        <w:spacing w:after="0"/>
        <w:rPr>
          <w:rFonts w:ascii="Cambria" w:eastAsia="Cambria" w:hAnsi="Cambria" w:cs="Times New Roman"/>
          <w:sz w:val="22"/>
          <w:szCs w:val="22"/>
        </w:rPr>
      </w:pPr>
      <w:r w:rsidRPr="00ED1068">
        <w:rPr>
          <w:rFonts w:ascii="Cambria" w:eastAsia="Cambria" w:hAnsi="Cambria" w:cs="Times New Roman"/>
          <w:b/>
          <w:bCs/>
        </w:rPr>
        <w:t>Action Items/Insight</w:t>
      </w:r>
      <w:r w:rsidRPr="00ED1068">
        <w:rPr>
          <w:rFonts w:ascii="Cambria" w:eastAsia="Cambria" w:hAnsi="Cambria" w:cs="Times New Roman"/>
        </w:rPr>
        <w:t xml:space="preserve">: </w:t>
      </w:r>
      <w:r w:rsidRPr="00ED1068">
        <w:rPr>
          <w:rFonts w:ascii="Cambria" w:eastAsia="Cambria" w:hAnsi="Cambria" w:cs="Times New Roman"/>
          <w:sz w:val="22"/>
          <w:szCs w:val="22"/>
        </w:rPr>
        <w:t xml:space="preserve">Though there’s some month-to-month </w:t>
      </w:r>
      <w:proofErr w:type="gramStart"/>
      <w:r w:rsidRPr="00ED1068">
        <w:rPr>
          <w:rFonts w:ascii="Cambria" w:eastAsia="Cambria" w:hAnsi="Cambria" w:cs="Times New Roman"/>
          <w:sz w:val="22"/>
          <w:szCs w:val="22"/>
        </w:rPr>
        <w:t>variation,*</w:t>
      </w:r>
      <w:proofErr w:type="gramEnd"/>
      <w:r w:rsidRPr="00ED1068">
        <w:rPr>
          <w:rFonts w:ascii="Cambria" w:eastAsia="Cambria" w:hAnsi="Cambria" w:cs="Times New Roman"/>
          <w:sz w:val="22"/>
          <w:szCs w:val="22"/>
        </w:rPr>
        <w:t xml:space="preserve"> your site is generally performing </w:t>
      </w:r>
      <w:r w:rsidRPr="00ED1068">
        <w:rPr>
          <w:rFonts w:ascii="Cambria" w:eastAsia="Cambria" w:hAnsi="Cambria" w:cs="Times New Roman"/>
          <w:b/>
          <w:bCs/>
          <w:sz w:val="22"/>
          <w:szCs w:val="22"/>
        </w:rPr>
        <w:t>worse than average</w:t>
      </w:r>
      <w:r w:rsidRPr="00ED1068">
        <w:rPr>
          <w:rFonts w:ascii="Cambria" w:eastAsia="Cambria" w:hAnsi="Cambria" w:cs="Times New Roman"/>
          <w:sz w:val="22"/>
          <w:szCs w:val="22"/>
        </w:rPr>
        <w:t xml:space="preserve"> in terms of ASB treatment.  An area to consider is your UA reflex tests. Are there opportunities to eliminate automatic testing like you did for your swing beds? Or potentially you can focus on education and brainstorm with the group who approved removing automatic testing a couple years back about why ASB treatment remains high. We suggest the next step for your hospital is to focus on sustainability and maintenance. We recommend 3 activities to sustain stewardship successes:</w:t>
      </w:r>
    </w:p>
    <w:p w14:paraId="145729BE" w14:textId="77777777" w:rsidR="00ED1068" w:rsidRPr="00ED1068" w:rsidRDefault="00ED1068" w:rsidP="00ED1068">
      <w:pPr>
        <w:spacing w:after="0"/>
        <w:ind w:firstLine="720"/>
        <w:rPr>
          <w:rFonts w:ascii="Cambria" w:eastAsia="Cambria" w:hAnsi="Cambria" w:cs="Times New Roman"/>
          <w:sz w:val="22"/>
          <w:szCs w:val="22"/>
        </w:rPr>
      </w:pPr>
      <w:r w:rsidRPr="00ED1068">
        <w:rPr>
          <w:rFonts w:ascii="Cambria" w:eastAsia="Cambria" w:hAnsi="Cambria" w:cs="Times New Roman"/>
          <w:sz w:val="22"/>
          <w:szCs w:val="22"/>
        </w:rPr>
        <w:t xml:space="preserve">1) automate/build in as much as possible (e.g., diagnostic stewardship, guidelines, decision-support, tools), </w:t>
      </w:r>
    </w:p>
    <w:p w14:paraId="6EE92B92" w14:textId="77777777" w:rsidR="00ED1068" w:rsidRPr="00ED1068" w:rsidRDefault="00ED1068" w:rsidP="00ED1068">
      <w:pPr>
        <w:spacing w:after="0"/>
        <w:ind w:firstLine="720"/>
        <w:rPr>
          <w:rFonts w:ascii="Cambria" w:eastAsia="Cambria" w:hAnsi="Cambria" w:cs="Times New Roman"/>
          <w:sz w:val="22"/>
          <w:szCs w:val="22"/>
        </w:rPr>
      </w:pPr>
      <w:r w:rsidRPr="00ED1068">
        <w:rPr>
          <w:rFonts w:ascii="Cambria" w:eastAsia="Cambria" w:hAnsi="Cambria" w:cs="Times New Roman"/>
          <w:sz w:val="22"/>
          <w:szCs w:val="22"/>
        </w:rPr>
        <w:t>2) conduct intermittent activities (e.g., intermittent audit or case review) to ensure continued success</w:t>
      </w:r>
    </w:p>
    <w:p w14:paraId="0239802C" w14:textId="77777777" w:rsidR="00ED1068" w:rsidRPr="00ED1068" w:rsidRDefault="00ED1068" w:rsidP="00ED1068">
      <w:pPr>
        <w:spacing w:after="0"/>
        <w:ind w:firstLine="720"/>
        <w:rPr>
          <w:rFonts w:ascii="Cambria" w:eastAsia="Cambria" w:hAnsi="Cambria" w:cs="Times New Roman"/>
          <w:sz w:val="22"/>
          <w:szCs w:val="22"/>
        </w:rPr>
      </w:pPr>
      <w:r w:rsidRPr="00ED1068">
        <w:rPr>
          <w:rFonts w:ascii="Cambria" w:eastAsia="Cambria" w:hAnsi="Cambria" w:cs="Times New Roman"/>
          <w:sz w:val="22"/>
          <w:szCs w:val="22"/>
        </w:rPr>
        <w:t>3) move on to your next adventure!</w:t>
      </w:r>
    </w:p>
    <w:p w14:paraId="72F6BC79" w14:textId="77777777" w:rsidR="00ED1068" w:rsidRPr="00ED1068" w:rsidRDefault="00ED1068" w:rsidP="00ED1068">
      <w:pPr>
        <w:spacing w:after="0"/>
        <w:rPr>
          <w:rFonts w:ascii="Cambria" w:eastAsia="Cambria" w:hAnsi="Cambria" w:cs="Times New Roman"/>
          <w:sz w:val="22"/>
          <w:szCs w:val="22"/>
        </w:rPr>
      </w:pPr>
      <w:r w:rsidRPr="00ED1068">
        <w:rPr>
          <w:rFonts w:ascii="Cambria" w:eastAsia="Cambria" w:hAnsi="Cambria" w:cs="Times New Roman"/>
          <w:sz w:val="22"/>
          <w:szCs w:val="22"/>
        </w:rPr>
        <w:t xml:space="preserve">Next year, we plan to focus on discharge antibiotic prescribing including duration and fluoroquinolone use. As you can see from this year’s data, your hospital is doing </w:t>
      </w:r>
      <w:r w:rsidRPr="00ED1068">
        <w:rPr>
          <w:rFonts w:ascii="Cambria" w:eastAsia="Cambria" w:hAnsi="Cambria" w:cs="Times New Roman"/>
          <w:b/>
          <w:bCs/>
          <w:sz w:val="22"/>
          <w:szCs w:val="22"/>
        </w:rPr>
        <w:t>about average</w:t>
      </w:r>
      <w:r w:rsidRPr="00ED1068">
        <w:rPr>
          <w:rFonts w:ascii="Cambria" w:eastAsia="Cambria" w:hAnsi="Cambria" w:cs="Times New Roman"/>
          <w:sz w:val="22"/>
          <w:szCs w:val="22"/>
        </w:rPr>
        <w:t xml:space="preserve"> in terms of the % of patients who receive a potentially avoidable fluoroquinolone. Notably, your hospital is performing </w:t>
      </w:r>
      <w:r w:rsidRPr="00ED1068">
        <w:rPr>
          <w:rFonts w:ascii="Cambria" w:eastAsia="Cambria" w:hAnsi="Cambria" w:cs="Times New Roman"/>
          <w:b/>
          <w:bCs/>
          <w:sz w:val="22"/>
          <w:szCs w:val="22"/>
        </w:rPr>
        <w:t>better than average</w:t>
      </w:r>
      <w:r w:rsidRPr="00ED1068">
        <w:rPr>
          <w:rFonts w:ascii="Cambria" w:eastAsia="Cambria" w:hAnsi="Cambria" w:cs="Times New Roman"/>
          <w:sz w:val="22"/>
          <w:szCs w:val="22"/>
        </w:rPr>
        <w:t xml:space="preserve"> in terms of the % of patients with UTI (or ASB) who receive antibiotic durations &gt;7 days. </w:t>
      </w:r>
      <w:r w:rsidRPr="00ED1068">
        <w:rPr>
          <w:rFonts w:ascii="Cambria" w:eastAsia="Cambria" w:hAnsi="Cambria" w:cs="Times New Roman"/>
          <w:i/>
          <w:iCs/>
          <w:sz w:val="22"/>
          <w:szCs w:val="22"/>
          <w:u w:val="single"/>
        </w:rPr>
        <w:t>Celebrate this success!</w:t>
      </w:r>
      <w:r w:rsidRPr="00ED1068">
        <w:rPr>
          <w:rFonts w:ascii="Cambria" w:eastAsia="Cambria" w:hAnsi="Cambria" w:cs="Times New Roman"/>
          <w:sz w:val="22"/>
          <w:szCs w:val="22"/>
        </w:rPr>
        <w:t xml:space="preserve"> </w:t>
      </w:r>
    </w:p>
    <w:p w14:paraId="7EA95967" w14:textId="77777777" w:rsidR="00ED1068" w:rsidRPr="00ED1068" w:rsidRDefault="00ED1068" w:rsidP="00ED1068">
      <w:pPr>
        <w:spacing w:before="180" w:after="180"/>
        <w:rPr>
          <w:rFonts w:ascii="Cambria" w:eastAsia="Cambria" w:hAnsi="Cambria" w:cs="Times New Roman"/>
          <w:sz w:val="18"/>
          <w:szCs w:val="18"/>
        </w:rPr>
      </w:pPr>
      <w:r w:rsidRPr="00ED1068">
        <w:rPr>
          <w:rFonts w:ascii="Cambria" w:eastAsia="Cambria" w:hAnsi="Cambria" w:cs="Times New Roman"/>
          <w:sz w:val="18"/>
          <w:szCs w:val="18"/>
        </w:rPr>
        <w:t xml:space="preserve">*Please note that small numbers of cases by month mean that we don’t have enough “power” to accurately assess whether changes are happening month to month. Our prior calculations found you need </w:t>
      </w:r>
      <w:r w:rsidRPr="00ED1068">
        <w:rPr>
          <w:rFonts w:ascii="Cambria" w:eastAsia="Cambria" w:hAnsi="Cambria" w:cs="Times New Roman"/>
          <w:b/>
          <w:bCs/>
          <w:sz w:val="18"/>
          <w:szCs w:val="18"/>
        </w:rPr>
        <w:t>at least 59 cases</w:t>
      </w:r>
      <w:r w:rsidRPr="00ED1068">
        <w:rPr>
          <w:rFonts w:ascii="Cambria" w:eastAsia="Cambria" w:hAnsi="Cambria" w:cs="Times New Roman"/>
          <w:sz w:val="18"/>
          <w:szCs w:val="18"/>
        </w:rPr>
        <w:t xml:space="preserve"> in the denominator (hence our annual goal) to accurately make comparisons. That means you would need to collect another 59 cases to accurately assess whether you have changed over time (we’ll be helping you with this next year!).</w:t>
      </w:r>
    </w:p>
    <w:p w14:paraId="5206AC2D" w14:textId="0F629186" w:rsidR="00F944FD" w:rsidRPr="00ED1068" w:rsidRDefault="00ED1068" w:rsidP="00ED1068">
      <w:pPr>
        <w:spacing w:before="180" w:after="180"/>
        <w:rPr>
          <w:rFonts w:ascii="Cambria" w:eastAsia="Cambria" w:hAnsi="Cambria" w:cs="Times New Roman"/>
          <w:sz w:val="22"/>
          <w:szCs w:val="22"/>
          <w:highlight w:val="yellow"/>
        </w:rPr>
      </w:pPr>
      <w:r w:rsidRPr="00ED1068">
        <w:rPr>
          <w:rFonts w:ascii="Cambria" w:eastAsia="Cambria" w:hAnsi="Cambria" w:cs="Times New Roman"/>
          <w:sz w:val="18"/>
          <w:szCs w:val="18"/>
        </w:rPr>
        <w:t>In HMS, we found change takes time—we measure change in years, not months. Find the small wins—from changing hearts and minds, to improving a process or building on a new guideline—to focus on. Over time, those small wins add up!</w:t>
      </w:r>
    </w:p>
    <w:sectPr w:rsidR="00F944FD" w:rsidRPr="00ED1068" w:rsidSect="00F735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FD"/>
    <w:rsid w:val="000C185D"/>
    <w:rsid w:val="002275D5"/>
    <w:rsid w:val="004B6BA4"/>
    <w:rsid w:val="00556E9C"/>
    <w:rsid w:val="005744C1"/>
    <w:rsid w:val="00B02CDF"/>
    <w:rsid w:val="00B03C90"/>
    <w:rsid w:val="00E02C37"/>
    <w:rsid w:val="00EA22DD"/>
    <w:rsid w:val="00ED1068"/>
    <w:rsid w:val="00F070AA"/>
    <w:rsid w:val="00F735CE"/>
    <w:rsid w:val="00F738E0"/>
    <w:rsid w:val="00F94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401AF"/>
  <w15:chartTrackingRefBased/>
  <w15:docId w15:val="{9CBC4210-DC3C-4666-B151-FA39B29EF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0"/>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5CE"/>
    <w:pPr>
      <w:spacing w:after="20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F735CE"/>
    <w:pPr>
      <w:spacing w:before="180" w:after="180"/>
    </w:pPr>
  </w:style>
  <w:style w:type="character" w:customStyle="1" w:styleId="BodyTextChar">
    <w:name w:val="Body Text Char"/>
    <w:basedOn w:val="DefaultParagraphFont"/>
    <w:link w:val="BodyText"/>
    <w:rsid w:val="00F735CE"/>
    <w:rPr>
      <w:kern w:val="0"/>
      <w:sz w:val="24"/>
      <w:szCs w:val="24"/>
      <w14:ligatures w14:val="none"/>
    </w:rPr>
  </w:style>
  <w:style w:type="paragraph" w:customStyle="1" w:styleId="FirstParagraph">
    <w:name w:val="First Paragraph"/>
    <w:basedOn w:val="BodyText"/>
    <w:next w:val="BodyText"/>
    <w:qFormat/>
    <w:rsid w:val="00F735CE"/>
  </w:style>
  <w:style w:type="paragraph" w:customStyle="1" w:styleId="Figure">
    <w:name w:val="Figure"/>
    <w:basedOn w:val="Normal"/>
    <w:rsid w:val="00F735CE"/>
    <w:pPr>
      <w:keepNext/>
      <w:keepLines/>
      <w:spacing w:before="60"/>
      <w:jc w:val="center"/>
    </w:pPr>
  </w:style>
  <w:style w:type="character" w:styleId="CommentReference">
    <w:name w:val="annotation reference"/>
    <w:basedOn w:val="DefaultParagraphFont"/>
    <w:semiHidden/>
    <w:unhideWhenUsed/>
    <w:rsid w:val="00F735CE"/>
    <w:rPr>
      <w:sz w:val="16"/>
      <w:szCs w:val="16"/>
    </w:rPr>
  </w:style>
  <w:style w:type="paragraph" w:styleId="CommentText">
    <w:name w:val="annotation text"/>
    <w:basedOn w:val="Normal"/>
    <w:link w:val="CommentTextChar"/>
    <w:unhideWhenUsed/>
    <w:rsid w:val="00F735CE"/>
    <w:rPr>
      <w:sz w:val="20"/>
      <w:szCs w:val="20"/>
    </w:rPr>
  </w:style>
  <w:style w:type="character" w:customStyle="1" w:styleId="CommentTextChar">
    <w:name w:val="Comment Text Char"/>
    <w:basedOn w:val="DefaultParagraphFont"/>
    <w:link w:val="CommentText"/>
    <w:rsid w:val="00F735CE"/>
    <w:rPr>
      <w:kern w:val="0"/>
      <w:sz w:val="20"/>
      <w:szCs w:val="20"/>
      <w14:ligatures w14:val="none"/>
    </w:rPr>
  </w:style>
  <w:style w:type="table" w:styleId="PlainTable3">
    <w:name w:val="Plain Table 3"/>
    <w:basedOn w:val="TableNormal"/>
    <w:rsid w:val="00B02CDF"/>
    <w:pPr>
      <w:spacing w:after="0" w:line="240" w:lineRule="auto"/>
    </w:pPr>
    <w:rPr>
      <w:kern w:val="0"/>
      <w:sz w:val="24"/>
      <w:szCs w:val="24"/>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White</dc:creator>
  <cp:keywords/>
  <dc:description/>
  <cp:lastModifiedBy>Andrea White</cp:lastModifiedBy>
  <cp:revision>2</cp:revision>
  <dcterms:created xsi:type="dcterms:W3CDTF">2023-08-23T16:41:00Z</dcterms:created>
  <dcterms:modified xsi:type="dcterms:W3CDTF">2023-08-23T16:41:00Z</dcterms:modified>
</cp:coreProperties>
</file>