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AA7BA0" w:rsidRPr="00DA7E40" w14:paraId="243FFE10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8773" w14:textId="23D231EF" w:rsidR="00AA7BA0" w:rsidRPr="003D6724" w:rsidRDefault="00AA7BA0" w:rsidP="00B55E64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Lincoln </w:t>
            </w:r>
            <w:r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04E41D40" w14:textId="77777777" w:rsidR="00AA7BA0" w:rsidRPr="00A40F80" w:rsidRDefault="00AA7BA0" w:rsidP="00B55E64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July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3E42D05B" w14:textId="77777777" w:rsidR="00AA7BA0" w:rsidRPr="00734BE2" w:rsidRDefault="00AA7BA0" w:rsidP="00B55E64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September 2023 –</w:t>
            </w:r>
            <w:r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June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46027ED5" w14:textId="6D875C6F" w:rsidR="00AA7BA0" w:rsidRPr="000D7308" w:rsidRDefault="002F1189" w:rsidP="00AA7BA0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1457FE49" wp14:editId="0782BF71">
            <wp:simplePos x="0" y="0"/>
            <wp:positionH relativeFrom="column">
              <wp:posOffset>-180975</wp:posOffset>
            </wp:positionH>
            <wp:positionV relativeFrom="paragraph">
              <wp:posOffset>433070</wp:posOffset>
            </wp:positionV>
            <wp:extent cx="3070860" cy="3657600"/>
            <wp:effectExtent l="0" t="0" r="2540" b="0"/>
            <wp:wrapThrough wrapText="bothSides">
              <wp:wrapPolygon edited="0">
                <wp:start x="0" y="0"/>
                <wp:lineTo x="0" y="21525"/>
                <wp:lineTo x="21529" y="21525"/>
                <wp:lineTo x="21529" y="0"/>
                <wp:lineTo x="0" y="0"/>
              </wp:wrapPolygon>
            </wp:wrapThrough>
            <wp:docPr id="2032133467" name="Picture 6" descr="A graph of a number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133467" name="Picture 6" descr="A graph of a number of peop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BA0"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68C8951B" w14:textId="6305B897" w:rsidR="00AA7BA0" w:rsidRPr="00DA7E40" w:rsidRDefault="002F1189" w:rsidP="00AA7BA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4808ED20" wp14:editId="1C51C1C1">
            <wp:simplePos x="0" y="0"/>
            <wp:positionH relativeFrom="column">
              <wp:posOffset>3004347</wp:posOffset>
            </wp:positionH>
            <wp:positionV relativeFrom="paragraph">
              <wp:posOffset>471805</wp:posOffset>
            </wp:positionV>
            <wp:extent cx="4062095" cy="2798445"/>
            <wp:effectExtent l="0" t="0" r="1905" b="0"/>
            <wp:wrapThrough wrapText="bothSides">
              <wp:wrapPolygon edited="0">
                <wp:start x="0" y="0"/>
                <wp:lineTo x="0" y="21468"/>
                <wp:lineTo x="21543" y="21468"/>
                <wp:lineTo x="21543" y="0"/>
                <wp:lineTo x="0" y="0"/>
              </wp:wrapPolygon>
            </wp:wrapThrough>
            <wp:docPr id="1039692778" name="Picture 7" descr="A graph showing the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692778" name="Picture 7" descr="A graph showing the number of patien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AA7BA0" w:rsidRPr="00DA7E40" w14:paraId="17072A3C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23F1" w14:textId="77777777" w:rsidR="00AA7BA0" w:rsidRPr="00AA79B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7D28CD68" w14:textId="77777777" w:rsidR="00AA7BA0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34DC81" wp14:editId="03FC07F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57AA3A" w14:textId="77777777" w:rsidR="00AA7BA0" w:rsidRPr="00D8182B" w:rsidRDefault="00AA7BA0" w:rsidP="00AA7BA0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35.6%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432A60D7" w14:textId="77777777" w:rsidR="00AA7BA0" w:rsidRPr="00D7271F" w:rsidRDefault="00AA7BA0" w:rsidP="00AA7BA0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4BD1F5EA" w14:textId="77777777" w:rsidR="00AA7BA0" w:rsidRDefault="00AA7BA0" w:rsidP="00AA7BA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50D3FBBB" w14:textId="77777777" w:rsidR="00AA7BA0" w:rsidRPr="00D3481D" w:rsidRDefault="00AA7BA0" w:rsidP="00AA7BA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6F6D1A16" w14:textId="77777777" w:rsidR="00AA7BA0" w:rsidRPr="00D3481D" w:rsidRDefault="00AA7BA0" w:rsidP="00AA7BA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478EA013" w14:textId="77777777" w:rsidR="00AA7BA0" w:rsidRPr="00D7271F" w:rsidRDefault="00AA7BA0" w:rsidP="00AA7BA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34DC81" id="Rounded Rectangle 1" o:spid="_x0000_s1026" style="position:absolute;left:0;text-align:left;margin-left:2pt;margin-top:5.65pt;width:544.25pt;height:19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" filled="f" strokecolor="#e97132 [3205]" strokeweight="2.25pt">
                      <v:stroke joinstyle="miter"/>
                      <v:textbox>
                        <w:txbxContent>
                          <w:p w14:paraId="4957AA3A" w14:textId="77777777" w:rsidR="00AA7BA0" w:rsidRPr="00D8182B" w:rsidRDefault="00AA7BA0" w:rsidP="00AA7BA0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35.6%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432A60D7" w14:textId="77777777" w:rsidR="00AA7BA0" w:rsidRPr="00D7271F" w:rsidRDefault="00AA7BA0" w:rsidP="00AA7BA0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4BD1F5EA" w14:textId="77777777" w:rsidR="00AA7BA0" w:rsidRDefault="00AA7BA0" w:rsidP="00AA7B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50D3FBBB" w14:textId="77777777" w:rsidR="00AA7BA0" w:rsidRPr="00D3481D" w:rsidRDefault="00AA7BA0" w:rsidP="00AA7B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6F6D1A16" w14:textId="77777777" w:rsidR="00AA7BA0" w:rsidRPr="00D3481D" w:rsidRDefault="00AA7BA0" w:rsidP="00AA7BA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478EA013" w14:textId="77777777" w:rsidR="00AA7BA0" w:rsidRPr="00D7271F" w:rsidRDefault="00AA7BA0" w:rsidP="00AA7BA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15D0E89" w14:textId="77777777" w:rsidR="00AA7BA0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0A036C13" w14:textId="77777777" w:rsidR="00AA7BA0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055C143" w14:textId="77777777" w:rsidR="00AA7BA0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34E3EF32" w14:textId="77777777" w:rsidR="00AA7BA0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75C326C" w14:textId="77777777" w:rsidR="00AA7BA0" w:rsidRPr="00734BE2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AA7BA0" w:rsidRPr="00DA7E40" w14:paraId="60E8DEB1" w14:textId="77777777" w:rsidTr="00B55E64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00D7" w14:textId="77777777" w:rsidR="00AA7BA0" w:rsidRPr="0031242E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AA7BA0" w:rsidRPr="00DA7E40" w14:paraId="66B64CED" w14:textId="77777777" w:rsidTr="00B55E64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41B0B" w14:textId="77777777" w:rsidR="00AA7BA0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787E60AA" w14:textId="77777777" w:rsidR="00AA7BA0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234F5AA3" w14:textId="77777777" w:rsidR="00AA7BA0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3654E2E0" w14:textId="77777777" w:rsidR="00AA7BA0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71908609" w14:textId="77777777" w:rsidR="00AA7BA0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5072FF3B" w14:textId="77777777" w:rsidR="00AA7BA0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7AB21FC6" w14:textId="77777777" w:rsidR="00AA7BA0" w:rsidRDefault="00AA7BA0" w:rsidP="00AA7BA0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E79DC8D" w14:textId="77777777" w:rsidR="00AA7BA0" w:rsidRDefault="00AA7BA0" w:rsidP="00AA7BA0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440EDD2C" w14:textId="77777777" w:rsidR="00AA7BA0" w:rsidRDefault="00AA7BA0" w:rsidP="00AA7BA0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0947B38F" w14:textId="77777777" w:rsidR="00AA7BA0" w:rsidRDefault="00AA7BA0" w:rsidP="00AA7BA0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EC02EDF" w14:textId="77777777" w:rsidR="00AA7BA0" w:rsidRDefault="00AA7BA0" w:rsidP="00AA7BA0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4DD2E426" w14:textId="0CEC9CF5" w:rsidR="00AA7BA0" w:rsidRPr="000D7308" w:rsidRDefault="002F1189" w:rsidP="00AA7BA0">
      <w:pPr>
        <w:rPr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70528" behindDoc="0" locked="0" layoutInCell="1" allowOverlap="1" wp14:anchorId="677A1D31" wp14:editId="43047037">
            <wp:simplePos x="0" y="0"/>
            <wp:positionH relativeFrom="column">
              <wp:posOffset>3507578</wp:posOffset>
            </wp:positionH>
            <wp:positionV relativeFrom="paragraph">
              <wp:posOffset>307975</wp:posOffset>
            </wp:positionV>
            <wp:extent cx="3550285" cy="2136140"/>
            <wp:effectExtent l="0" t="0" r="5715" b="0"/>
            <wp:wrapThrough wrapText="bothSides">
              <wp:wrapPolygon edited="0">
                <wp:start x="0" y="0"/>
                <wp:lineTo x="0" y="21446"/>
                <wp:lineTo x="21558" y="21446"/>
                <wp:lineTo x="21558" y="0"/>
                <wp:lineTo x="0" y="0"/>
              </wp:wrapPolygon>
            </wp:wrapThrough>
            <wp:docPr id="334224353" name="Picture 9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224353" name="Picture 9" descr="A graph of treatment rate of asb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285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2612BF93" wp14:editId="1FBA2404">
            <wp:simplePos x="0" y="0"/>
            <wp:positionH relativeFrom="column">
              <wp:posOffset>-212725</wp:posOffset>
            </wp:positionH>
            <wp:positionV relativeFrom="paragraph">
              <wp:posOffset>294167</wp:posOffset>
            </wp:positionV>
            <wp:extent cx="3517265" cy="2152015"/>
            <wp:effectExtent l="0" t="0" r="635" b="0"/>
            <wp:wrapThrough wrapText="bothSides">
              <wp:wrapPolygon edited="0">
                <wp:start x="0" y="0"/>
                <wp:lineTo x="0" y="21415"/>
                <wp:lineTo x="21526" y="21415"/>
                <wp:lineTo x="21526" y="0"/>
                <wp:lineTo x="0" y="0"/>
              </wp:wrapPolygon>
            </wp:wrapThrough>
            <wp:docPr id="2096864733" name="Picture 8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864733" name="Picture 8" descr="A graph of a number of patien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265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BA0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AA7BA0">
        <w:rPr>
          <w:b/>
          <w:bCs/>
          <w:sz w:val="28"/>
          <w:szCs w:val="28"/>
          <w:u w:val="single"/>
        </w:rPr>
        <w:t xml:space="preserve">Rate </w:t>
      </w:r>
      <w:r w:rsidR="00AA7BA0" w:rsidRPr="000D7308">
        <w:rPr>
          <w:b/>
          <w:bCs/>
          <w:sz w:val="28"/>
          <w:szCs w:val="28"/>
          <w:u w:val="single"/>
        </w:rPr>
        <w:t xml:space="preserve">of ASB </w:t>
      </w:r>
    </w:p>
    <w:p w14:paraId="2E87560E" w14:textId="004AC03B" w:rsidR="00AA7BA0" w:rsidRPr="00D8182B" w:rsidRDefault="00AA7BA0" w:rsidP="00AA7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18FD1F2B" w14:textId="77777777" w:rsidR="00AA7BA0" w:rsidRDefault="00AA7BA0" w:rsidP="00AA7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DF0ED" wp14:editId="05B08D6B">
                <wp:simplePos x="0" y="0"/>
                <wp:positionH relativeFrom="column">
                  <wp:posOffset>1179768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1163F5" w14:textId="77777777" w:rsidR="00AA7BA0" w:rsidRPr="00626572" w:rsidRDefault="00000000" w:rsidP="00AA7B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DF0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92.9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" fillcolor="white [3201]" stroked="f" strokeweight=".5pt">
                <v:textbox>
                  <w:txbxContent>
                    <w:p w14:paraId="1E1163F5" w14:textId="77777777" w:rsidR="00AA7BA0" w:rsidRPr="00626572" w:rsidRDefault="00000000" w:rsidP="00AA7BA0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DE2C3" wp14:editId="38614914">
                <wp:simplePos x="0" y="0"/>
                <wp:positionH relativeFrom="column">
                  <wp:posOffset>-169292</wp:posOffset>
                </wp:positionH>
                <wp:positionV relativeFrom="paragraph">
                  <wp:posOffset>61324</wp:posOffset>
                </wp:positionV>
                <wp:extent cx="3522967" cy="525780"/>
                <wp:effectExtent l="12700" t="12700" r="8255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967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DD163" w14:textId="77777777" w:rsidR="00AA7BA0" w:rsidRPr="00626572" w:rsidRDefault="00AA7BA0" w:rsidP="00AA7BA0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2DE2C3" id="_x0000_s1028" style="position:absolute;margin-left:-13.35pt;margin-top:4.85pt;width:277.4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" filled="f" strokecolor="#0f4761 [2404]" strokeweight="1.5pt">
                <v:stroke joinstyle="miter"/>
                <v:textbox>
                  <w:txbxContent>
                    <w:p w14:paraId="245DD163" w14:textId="77777777" w:rsidR="00AA7BA0" w:rsidRPr="00626572" w:rsidRDefault="00AA7BA0" w:rsidP="00AA7BA0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D4FDF" wp14:editId="562DDC0D">
                <wp:simplePos x="0" y="0"/>
                <wp:positionH relativeFrom="column">
                  <wp:posOffset>4775200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6BFF1" w14:textId="77777777" w:rsidR="00AA7BA0" w:rsidRPr="00626572" w:rsidRDefault="00000000" w:rsidP="00AA7B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D4FDF" id="_x0000_s1029" type="#_x0000_t202" style="position:absolute;margin-left:376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" fillcolor="white [3201]" stroked="f" strokeweight=".5pt">
                <v:textbox>
                  <w:txbxContent>
                    <w:p w14:paraId="4D16BFF1" w14:textId="77777777" w:rsidR="00AA7BA0" w:rsidRPr="00626572" w:rsidRDefault="00000000" w:rsidP="00AA7BA0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FC7D9" wp14:editId="4D82A39A">
                <wp:simplePos x="0" y="0"/>
                <wp:positionH relativeFrom="column">
                  <wp:posOffset>3589020</wp:posOffset>
                </wp:positionH>
                <wp:positionV relativeFrom="paragraph">
                  <wp:posOffset>62230</wp:posOffset>
                </wp:positionV>
                <wp:extent cx="3189605" cy="525780"/>
                <wp:effectExtent l="12700" t="12700" r="10795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B6412" w14:textId="77777777" w:rsidR="00AA7BA0" w:rsidRDefault="00AA7BA0" w:rsidP="00AA7BA0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1C9AB1C6" w14:textId="77777777" w:rsidR="00AA7BA0" w:rsidRPr="00626572" w:rsidRDefault="00AA7BA0" w:rsidP="00AA7BA0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75A2CB59" w14:textId="77777777" w:rsidR="00AA7BA0" w:rsidRPr="00626572" w:rsidRDefault="00AA7BA0" w:rsidP="00AA7BA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FC7D9" id="_x0000_s1030" style="position:absolute;margin-left:282.6pt;margin-top:4.9pt;width:251.1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" filled="f" strokecolor="#0f4761 [2404]" strokeweight="1.5pt">
                <v:stroke joinstyle="miter"/>
                <v:textbox>
                  <w:txbxContent>
                    <w:p w14:paraId="15DB6412" w14:textId="77777777" w:rsidR="00AA7BA0" w:rsidRDefault="00AA7BA0" w:rsidP="00AA7BA0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1C9AB1C6" w14:textId="77777777" w:rsidR="00AA7BA0" w:rsidRPr="00626572" w:rsidRDefault="00AA7BA0" w:rsidP="00AA7BA0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75A2CB59" w14:textId="77777777" w:rsidR="00AA7BA0" w:rsidRPr="00626572" w:rsidRDefault="00AA7BA0" w:rsidP="00AA7BA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1A1846C" w14:textId="77777777" w:rsidR="00AA7BA0" w:rsidRDefault="00AA7BA0" w:rsidP="00AA7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6C61E7DE" w14:textId="77777777" w:rsidR="00AA7BA0" w:rsidRDefault="00AA7BA0" w:rsidP="00AA7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0309182D" w14:textId="77777777" w:rsidR="00AA7BA0" w:rsidRPr="005E6941" w:rsidRDefault="00AA7BA0" w:rsidP="00AA7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0EF138D0" w14:textId="77777777" w:rsidR="00AA7BA0" w:rsidRDefault="00AA7BA0" w:rsidP="00AA7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571D3B76" w14:textId="77777777" w:rsidR="00AA7BA0" w:rsidRPr="00AA79B4" w:rsidRDefault="00AA7BA0" w:rsidP="00AA7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177EFBAE" w14:textId="1CB0D669" w:rsidR="00AA7BA0" w:rsidRPr="009B65C2" w:rsidRDefault="00AA7BA0" w:rsidP="00AA7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r w:rsidR="007E1050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181</w:t>
      </w:r>
    </w:p>
    <w:p w14:paraId="7D8A0591" w14:textId="599467C7" w:rsidR="00AA7BA0" w:rsidRDefault="00AA7BA0" w:rsidP="00AA7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7E1050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20 (17-26)</w:t>
      </w:r>
    </w:p>
    <w:p w14:paraId="33049732" w14:textId="77777777" w:rsidR="00AA7BA0" w:rsidRPr="00AA79B4" w:rsidRDefault="00AA7BA0" w:rsidP="00AA7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522914E2" w14:textId="77777777" w:rsidR="00AA7BA0" w:rsidRPr="00AA79B4" w:rsidRDefault="00AA7BA0" w:rsidP="00AA7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0D12F307" w14:textId="77777777" w:rsidR="00AA7BA0" w:rsidRPr="009B65C2" w:rsidRDefault="00AA7BA0" w:rsidP="00AA7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356 of 868 (41.0%)</w:t>
      </w:r>
    </w:p>
    <w:p w14:paraId="2B020D9D" w14:textId="375E1C71" w:rsidR="00AA7BA0" w:rsidRDefault="00AA7BA0" w:rsidP="00AA7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7E1050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48 of 181 (26.5%)</w:t>
      </w:r>
    </w:p>
    <w:p w14:paraId="08D1111C" w14:textId="77777777" w:rsidR="00AA7BA0" w:rsidRPr="00AA79B4" w:rsidRDefault="00AA7BA0" w:rsidP="00AA7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578A272D" w14:textId="77777777" w:rsidR="00AA7BA0" w:rsidRPr="00AA79B4" w:rsidRDefault="00AA7BA0" w:rsidP="00AA7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6A0DD88A" w14:textId="77777777" w:rsidR="00AA7BA0" w:rsidRPr="009B65C2" w:rsidRDefault="00AA7BA0" w:rsidP="00AA7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: 266 of 356 (74.7%)</w:t>
      </w:r>
    </w:p>
    <w:p w14:paraId="30391541" w14:textId="66E5061C" w:rsidR="00AA7BA0" w:rsidRPr="009B65C2" w:rsidRDefault="00AA7BA0" w:rsidP="00AA7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at your site: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7E1050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34 of 48 (70.8%)</w:t>
      </w:r>
    </w:p>
    <w:p w14:paraId="18F12067" w14:textId="5A44764B" w:rsidR="00AA7BA0" w:rsidRPr="00D8182B" w:rsidRDefault="00AA7BA0" w:rsidP="00AA7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Previous treatment rate at your site (from ASB 101 cohort): </w:t>
      </w:r>
      <w:r w:rsidR="007704D8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36 of 51 (71%)</w:t>
      </w:r>
    </w:p>
    <w:p w14:paraId="7574D553" w14:textId="77777777" w:rsidR="00AA7BA0" w:rsidRDefault="00AA7BA0" w:rsidP="00AA7BA0">
      <w:pPr>
        <w:rPr>
          <w:b/>
          <w:bCs/>
          <w:sz w:val="28"/>
          <w:szCs w:val="28"/>
          <w:u w:val="single"/>
        </w:rPr>
      </w:pPr>
    </w:p>
    <w:p w14:paraId="1E28BD0D" w14:textId="77777777" w:rsidR="00AA7BA0" w:rsidRPr="000D7308" w:rsidRDefault="00AA7BA0" w:rsidP="00AA7BA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237"/>
        <w:gridCol w:w="2730"/>
      </w:tblGrid>
      <w:tr w:rsidR="00AA7BA0" w:rsidRPr="00DA7E40" w14:paraId="63CC03F4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964C8" w14:textId="77777777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AA7BA0" w:rsidRPr="00DA7E40" w14:paraId="057DC69C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0836E" w14:textId="77777777" w:rsidR="00AA7BA0" w:rsidRPr="00BF1824" w:rsidRDefault="00AA7BA0" w:rsidP="00B55E64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ED9FF" w14:textId="77777777" w:rsidR="00AA7BA0" w:rsidRPr="00BF1824" w:rsidRDefault="00AA7BA0" w:rsidP="00B55E64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AA7BA0" w:rsidRPr="00DA7E40" w14:paraId="55C7517F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90046" w14:textId="67EC89FA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= </w:t>
            </w:r>
            <w:r w:rsidR="00137C2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60B6" w14:textId="7EECDBBB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3135C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3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6F371" w14:textId="0F846632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37C2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135</w:t>
            </w:r>
          </w:p>
        </w:tc>
        <w:tc>
          <w:tcPr>
            <w:tcW w:w="27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62145" w14:textId="66938E98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ASB, n =</w:t>
            </w:r>
            <w:r w:rsidR="003135C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35</w:t>
            </w:r>
          </w:p>
        </w:tc>
      </w:tr>
      <w:tr w:rsidR="00AA7BA0" w:rsidRPr="00DA7E40" w14:paraId="7DE5F957" w14:textId="77777777" w:rsidTr="00B55E6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5186" w14:textId="58280605" w:rsidR="00AA7BA0" w:rsidRPr="00BF1824" w:rsidRDefault="00137C2F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(n=8)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A5A19" w14:textId="3B491DB7" w:rsidR="00AA7BA0" w:rsidRPr="00BF1824" w:rsidRDefault="003135CC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(n=4)</w:t>
            </w: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3171" w14:textId="7882F5AC" w:rsidR="00AA7BA0" w:rsidRPr="00BF1824" w:rsidRDefault="00137C2F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(n=56)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BD61" w14:textId="62F898B8" w:rsidR="00AA7BA0" w:rsidRPr="00BF1824" w:rsidRDefault="003135CC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(n=18)</w:t>
            </w:r>
          </w:p>
        </w:tc>
      </w:tr>
      <w:tr w:rsidR="00AA7BA0" w:rsidRPr="00DA7E40" w14:paraId="6034E6CD" w14:textId="77777777" w:rsidTr="00B55E6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8D44" w14:textId="4C3625A6" w:rsidR="00AA7BA0" w:rsidRPr="00BF1824" w:rsidRDefault="00137C2F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Pip-tazo (n=1)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763E9" w14:textId="18CE0998" w:rsidR="00AA7BA0" w:rsidRPr="00BF1824" w:rsidRDefault="003135CC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Azithromycin (n=1)</w:t>
            </w: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0C560" w14:textId="15EA0F78" w:rsidR="00AA7BA0" w:rsidRPr="00BF1824" w:rsidRDefault="00137C2F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(n=34)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0C4A5" w14:textId="75D3B4F1" w:rsidR="00AA7BA0" w:rsidRPr="00BF1824" w:rsidRDefault="003135CC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Trim-sulfa (n=5)</w:t>
            </w:r>
          </w:p>
        </w:tc>
      </w:tr>
      <w:tr w:rsidR="00AA7BA0" w:rsidRPr="00DA7E40" w14:paraId="5EE0D3CB" w14:textId="77777777" w:rsidTr="00B55E6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71FDC" w14:textId="02AF9F0F" w:rsidR="00AA7BA0" w:rsidRPr="00BF1824" w:rsidRDefault="00137C2F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Azithromycin (n=1)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E2F83" w14:textId="5C8D7072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18058" w14:textId="78FD3159" w:rsidR="00AA7BA0" w:rsidRPr="00BF1824" w:rsidRDefault="00137C2F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Trim-sulfa (n=28)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57BF2" w14:textId="5AE0BB43" w:rsidR="00AA7BA0" w:rsidRPr="00BF1824" w:rsidRDefault="003135CC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Levofloxacin (n=4)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420"/>
        <w:gridCol w:w="1910"/>
        <w:gridCol w:w="1440"/>
        <w:gridCol w:w="1970"/>
      </w:tblGrid>
      <w:tr w:rsidR="00AA7BA0" w:rsidRPr="00BF1824" w14:paraId="07EF13D3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A0DA0" w14:textId="77777777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AF21" w14:textId="77777777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7681" w14:textId="77777777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AA7BA0" w:rsidRPr="00BF1824" w14:paraId="50FB3E63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83AC6" w14:textId="77777777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3B5D0" w14:textId="57577437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4B544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191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2DE60" w14:textId="45D81E94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4B544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A05C9" w14:textId="712A6010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4B544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9BA0" w14:textId="7B64DF67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4B544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</w:tr>
      <w:tr w:rsidR="00AA7BA0" w:rsidRPr="00BF1824" w14:paraId="5F261DCE" w14:textId="77777777" w:rsidTr="00B55E64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54025" w14:textId="77777777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4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A9FA9" w14:textId="58C0C0E9" w:rsidR="00AA7BA0" w:rsidRPr="00BF1824" w:rsidRDefault="004B54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(7-9)</w:t>
            </w:r>
          </w:p>
        </w:tc>
        <w:tc>
          <w:tcPr>
            <w:tcW w:w="19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BF687" w14:textId="7CF3B491" w:rsidR="00AA7BA0" w:rsidRPr="00BF1824" w:rsidRDefault="004B54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(5-7.5)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749B" w14:textId="5D112795" w:rsidR="00AA7BA0" w:rsidRPr="00BF1824" w:rsidRDefault="004B54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(0-8)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F36CC" w14:textId="5A49F773" w:rsidR="00AA7BA0" w:rsidRPr="00BF1824" w:rsidRDefault="004B54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(1.5-10)</w:t>
            </w:r>
          </w:p>
        </w:tc>
      </w:tr>
      <w:tr w:rsidR="00AA7BA0" w:rsidRPr="00BF1824" w14:paraId="04A2A3BF" w14:textId="77777777" w:rsidTr="00B55E64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23EAD" w14:textId="77777777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4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B60B1" w14:textId="041B71B7" w:rsidR="00AA7BA0" w:rsidRPr="00BF1824" w:rsidRDefault="004B54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37</w:t>
            </w:r>
            <w:r w:rsidR="000F680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(31.4%)</w:t>
            </w:r>
          </w:p>
        </w:tc>
        <w:tc>
          <w:tcPr>
            <w:tcW w:w="19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94B14" w14:textId="7FB9C081" w:rsidR="00AA7BA0" w:rsidRPr="00BF1824" w:rsidRDefault="004B54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  <w:r w:rsidR="000F680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(26.7%)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223F1" w14:textId="603938A6" w:rsidR="00AA7BA0" w:rsidRPr="00BF1824" w:rsidRDefault="004B54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</w:t>
            </w:r>
            <w:r w:rsidR="000F680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(27.0%)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9C11F" w14:textId="4A21B702" w:rsidR="00AA7BA0" w:rsidRPr="00BF1824" w:rsidRDefault="004B5443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 w:rsidR="000F680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(45.5%)</w:t>
            </w:r>
          </w:p>
        </w:tc>
      </w:tr>
    </w:tbl>
    <w:p w14:paraId="6E7095EC" w14:textId="77777777" w:rsidR="00AA7BA0" w:rsidRDefault="00AA7BA0" w:rsidP="00AA7BA0">
      <w:pPr>
        <w:rPr>
          <w:rFonts w:ascii="Times New Roman" w:hAnsi="Times New Roman" w:cs="Times New Roman"/>
          <w:sz w:val="22"/>
          <w:szCs w:val="22"/>
        </w:rPr>
      </w:pPr>
    </w:p>
    <w:p w14:paraId="70348022" w14:textId="77777777" w:rsidR="00AA7BA0" w:rsidRPr="00626572" w:rsidRDefault="00AA7BA0" w:rsidP="00AA7BA0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May 2024 &amp; this month is June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AA7BA0" w:rsidRPr="00DA7E40" w14:paraId="0BE2B0A3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8CDE" w14:textId="77777777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CE581" w14:textId="77777777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834C" w14:textId="77777777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4B5443" w:rsidRPr="00DA7E40" w14:paraId="54976DA5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0F45" w14:textId="77777777" w:rsidR="004B5443" w:rsidRPr="00BF1824" w:rsidRDefault="004B5443" w:rsidP="004B5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8A6D" w14:textId="41669130" w:rsidR="004B5443" w:rsidRPr="00BF1824" w:rsidRDefault="004B5443" w:rsidP="004B5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78ED" w14:textId="2D6B03E5" w:rsidR="004B5443" w:rsidRPr="00BF1824" w:rsidRDefault="004B5443" w:rsidP="004B5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BE334" w14:textId="63087BFD" w:rsidR="004B5443" w:rsidRPr="00BF1824" w:rsidRDefault="004B5443" w:rsidP="004B5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82A30" w14:textId="53D809D0" w:rsidR="004B5443" w:rsidRPr="00BF1824" w:rsidRDefault="004B5443" w:rsidP="004B54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</w:tr>
      <w:tr w:rsidR="00AA7BA0" w:rsidRPr="00DA7E40" w14:paraId="16795564" w14:textId="77777777" w:rsidTr="00B55E64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3698" w14:textId="77777777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AA7BA0" w:rsidRPr="00DA7E40" w14:paraId="5DD90EBD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D8D95" w14:textId="77777777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6612" w14:textId="18C6D15B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1061E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(0.8%)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18B52" w14:textId="317BC0F1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1061E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(13.3%)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A86E8" w14:textId="4A1FA92C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63C03" w14:textId="766A89C2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1061E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(9.0%)</w:t>
            </w:r>
          </w:p>
        </w:tc>
      </w:tr>
      <w:tr w:rsidR="00AA7BA0" w:rsidRPr="00DA7E40" w14:paraId="647A7C93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45B8" w14:textId="77777777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A949C" w14:textId="54482FDA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30</w:t>
            </w:r>
            <w:r w:rsidR="001061E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(25.4%)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40CBF" w14:textId="3E7D8AC1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  <w:r w:rsidR="001061E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(26.7%)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9E0C3" w14:textId="5DBFD623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1061E4">
              <w:rPr>
                <w:rFonts w:ascii="Times New Roman" w:eastAsiaTheme="minorEastAsia" w:hAnsi="Times New Roman" w:cs="Times New Roman"/>
                <w:sz w:val="22"/>
                <w:szCs w:val="22"/>
              </w:rPr>
              <w:t>1 (56.8%)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08FD4" w14:textId="097E13BD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1061E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(27.3%)</w:t>
            </w:r>
          </w:p>
        </w:tc>
      </w:tr>
      <w:tr w:rsidR="00AA7BA0" w:rsidRPr="00DA7E40" w14:paraId="520F0AC4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9F4F5" w14:textId="77777777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747DF" w14:textId="4B2D76FE" w:rsidR="00AA7BA0" w:rsidRPr="00BF1824" w:rsidRDefault="00B02C9B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87</w:t>
            </w:r>
            <w:r w:rsidR="001061E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(73.7%)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D334A" w14:textId="7FBDCA2C" w:rsidR="00AA7BA0" w:rsidRPr="00BF1824" w:rsidRDefault="00B02C9B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9</w:t>
            </w:r>
            <w:r w:rsidR="001061E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592B2" w14:textId="2E8EF386" w:rsidR="00AA7BA0" w:rsidRPr="00BF1824" w:rsidRDefault="00B02C9B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16</w:t>
            </w:r>
            <w:r w:rsidR="001061E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(43.2%)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9752" w14:textId="4D746667" w:rsidR="00AA7BA0" w:rsidRPr="00BF1824" w:rsidRDefault="00B02C9B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</w:t>
            </w:r>
            <w:r w:rsidR="001061E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(63.6%)</w:t>
            </w:r>
          </w:p>
        </w:tc>
      </w:tr>
      <w:tr w:rsidR="00AA7BA0" w:rsidRPr="00DA7E40" w14:paraId="56F34EFD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CE336" w14:textId="77777777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5892" w14:textId="7FE4F453" w:rsidR="00AA7BA0" w:rsidRPr="00BF1824" w:rsidRDefault="00B02C9B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BD98" w14:textId="0D7E2392" w:rsidR="00AA7BA0" w:rsidRPr="00BF1824" w:rsidRDefault="00B02C9B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D40EB" w14:textId="3B273E7A" w:rsidR="00AA7BA0" w:rsidRPr="00BF1824" w:rsidRDefault="00B02C9B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42E7" w14:textId="6B94AF20" w:rsidR="00AA7BA0" w:rsidRPr="00BF1824" w:rsidRDefault="00B02C9B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AA7BA0" w:rsidRPr="00DA7E40" w14:paraId="12347C87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2D28" w14:textId="77777777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2AEE" w14:textId="0CAEBE62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A64F" w14:textId="4BFB8F21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E0DE" w14:textId="60DE51F8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7904" w14:textId="420F528A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AA7BA0" w:rsidRPr="00DA7E40" w14:paraId="515F109D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9F414" w14:textId="77777777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55D1C" w14:textId="4975E5FA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116 (98.3%)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1DDB5" w14:textId="0DCD731E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15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32DC3" w14:textId="68FA02D1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35 (94.6%)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76D9" w14:textId="774A4C31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11 (100%)</w:t>
            </w:r>
          </w:p>
        </w:tc>
      </w:tr>
      <w:tr w:rsidR="00AA7BA0" w:rsidRPr="00DA7E40" w14:paraId="611E5A38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3033" w14:textId="77777777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EF436" w14:textId="5915AFEA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23 (19.5%)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B93BB" w14:textId="67F3B9AB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(6.7%)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5E27" w14:textId="00F669F4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12 (32.4%)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BC341" w14:textId="4E54AD99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(63.6%)</w:t>
            </w:r>
          </w:p>
        </w:tc>
      </w:tr>
      <w:tr w:rsidR="00AA7BA0" w:rsidRPr="00DA7E40" w14:paraId="63EB735F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80CBB" w14:textId="77777777" w:rsidR="00AA7BA0" w:rsidRPr="00BF1824" w:rsidRDefault="00AA7BA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D3B78" w14:textId="7B8DC55A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42 (35.6%)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F6D1F" w14:textId="7B229E5F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(33.3%)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01C6" w14:textId="13E77C63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17 (45.9%)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2D5A8" w14:textId="68D0E01B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 (54.5%)</w:t>
            </w:r>
          </w:p>
        </w:tc>
      </w:tr>
      <w:tr w:rsidR="00AA7BA0" w:rsidRPr="00DA7E40" w14:paraId="4E34B62F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5E3DE" w14:textId="77777777" w:rsidR="00AA7BA0" w:rsidRPr="00BF1824" w:rsidRDefault="00AA7BA0" w:rsidP="00B55E64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AC1E" w14:textId="5C849413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EC707" w14:textId="7A22A76E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1FFF" w14:textId="383708B9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(10.8%)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66C46" w14:textId="6501ECCD" w:rsidR="00AA7BA0" w:rsidRPr="00BF1824" w:rsidRDefault="00B02C9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(9.1%)</w:t>
            </w:r>
          </w:p>
        </w:tc>
      </w:tr>
    </w:tbl>
    <w:p w14:paraId="573E1379" w14:textId="77777777" w:rsidR="00AA7BA0" w:rsidRPr="001A79BA" w:rsidRDefault="00AA7BA0" w:rsidP="00AA7BA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037DE01A" w14:textId="77777777" w:rsidR="00AA7BA0" w:rsidRPr="00626572" w:rsidRDefault="00AA7BA0" w:rsidP="00AA7BA0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May 2024 &amp; this month is June 2024</w:t>
      </w: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865"/>
        <w:gridCol w:w="1440"/>
        <w:gridCol w:w="2070"/>
        <w:gridCol w:w="1530"/>
        <w:gridCol w:w="1980"/>
      </w:tblGrid>
      <w:tr w:rsidR="00AA7BA0" w14:paraId="113C41F7" w14:textId="77777777" w:rsidTr="00B55E64">
        <w:trPr>
          <w:trHeight w:val="346"/>
        </w:trPr>
        <w:tc>
          <w:tcPr>
            <w:tcW w:w="3865" w:type="dxa"/>
            <w:vMerge w:val="restart"/>
            <w:shd w:val="clear" w:color="auto" w:fill="E8E8E8" w:themeFill="background2"/>
            <w:vAlign w:val="center"/>
          </w:tcPr>
          <w:p w14:paraId="0F0B0271" w14:textId="77777777" w:rsidR="00AA7BA0" w:rsidRPr="00055E42" w:rsidRDefault="00AA7BA0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346956FC" w14:textId="77777777" w:rsidR="00AA7BA0" w:rsidRPr="00055E42" w:rsidRDefault="00AA7BA0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483AC249" w14:textId="77777777" w:rsidR="00AA7BA0" w:rsidRPr="00055E42" w:rsidRDefault="00AA7BA0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4B5443" w14:paraId="43747DED" w14:textId="77777777" w:rsidTr="00B55E64">
        <w:trPr>
          <w:trHeight w:val="346"/>
        </w:trPr>
        <w:tc>
          <w:tcPr>
            <w:tcW w:w="3865" w:type="dxa"/>
            <w:vMerge/>
            <w:shd w:val="clear" w:color="auto" w:fill="E8E8E8" w:themeFill="background2"/>
            <w:vAlign w:val="center"/>
          </w:tcPr>
          <w:p w14:paraId="4FBB533B" w14:textId="77777777" w:rsidR="004B5443" w:rsidRPr="00055E42" w:rsidRDefault="004B5443" w:rsidP="004B5443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6074E89B" w14:textId="0517EC3F" w:rsidR="004B5443" w:rsidRPr="00055E42" w:rsidRDefault="004B5443" w:rsidP="004B5443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000C6AEA" w14:textId="762F1C39" w:rsidR="004B5443" w:rsidRPr="00055E42" w:rsidRDefault="004B5443" w:rsidP="004B5443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776E35FF" w14:textId="1C728260" w:rsidR="004B5443" w:rsidRPr="00055E42" w:rsidRDefault="004B5443" w:rsidP="004B5443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5A1A712C" w14:textId="58567003" w:rsidR="004B5443" w:rsidRPr="00055E42" w:rsidRDefault="004B5443" w:rsidP="004B5443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</w:tr>
      <w:tr w:rsidR="00AA7BA0" w14:paraId="6EDDCB49" w14:textId="77777777" w:rsidTr="00B55E64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670FB7E0" w14:textId="77777777" w:rsidR="00AA7BA0" w:rsidRPr="00055E42" w:rsidRDefault="00AA7BA0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610DF0DA" w14:textId="77777777" w:rsidR="00AA7BA0" w:rsidRPr="00055E42" w:rsidRDefault="00AA7BA0" w:rsidP="00B55E6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A7BA0" w14:paraId="2DF1CB5E" w14:textId="77777777" w:rsidTr="00B55E64">
        <w:trPr>
          <w:trHeight w:val="346"/>
        </w:trPr>
        <w:tc>
          <w:tcPr>
            <w:tcW w:w="3865" w:type="dxa"/>
            <w:vMerge w:val="restart"/>
          </w:tcPr>
          <w:p w14:paraId="4DCCA588" w14:textId="77777777" w:rsidR="00AA7BA0" w:rsidRPr="00055E42" w:rsidRDefault="00AA7BA0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EF72F8B" w14:textId="7F93FEA0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(n=35)</w:t>
            </w:r>
          </w:p>
        </w:tc>
        <w:tc>
          <w:tcPr>
            <w:tcW w:w="2070" w:type="dxa"/>
          </w:tcPr>
          <w:p w14:paraId="2BE7B8DF" w14:textId="6D017662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 (n=5)</w:t>
            </w:r>
          </w:p>
        </w:tc>
        <w:tc>
          <w:tcPr>
            <w:tcW w:w="1530" w:type="dxa"/>
            <w:vAlign w:val="center"/>
          </w:tcPr>
          <w:p w14:paraId="73AC0086" w14:textId="0FE219A8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(n=9)</w:t>
            </w:r>
          </w:p>
        </w:tc>
        <w:tc>
          <w:tcPr>
            <w:tcW w:w="1980" w:type="dxa"/>
          </w:tcPr>
          <w:p w14:paraId="289D19C1" w14:textId="4FDF6DAF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(n=2)</w:t>
            </w:r>
          </w:p>
        </w:tc>
      </w:tr>
      <w:tr w:rsidR="00AA7BA0" w14:paraId="5A3F89F2" w14:textId="77777777" w:rsidTr="00B55E64">
        <w:trPr>
          <w:trHeight w:val="346"/>
        </w:trPr>
        <w:tc>
          <w:tcPr>
            <w:tcW w:w="3865" w:type="dxa"/>
            <w:vMerge/>
          </w:tcPr>
          <w:p w14:paraId="3013AF37" w14:textId="77777777" w:rsidR="00AA7BA0" w:rsidRPr="00055E42" w:rsidRDefault="00AA7BA0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E359131" w14:textId="25F1A5D2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(n=15)</w:t>
            </w:r>
          </w:p>
        </w:tc>
        <w:tc>
          <w:tcPr>
            <w:tcW w:w="2070" w:type="dxa"/>
          </w:tcPr>
          <w:p w14:paraId="680FF830" w14:textId="66FB52EA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(n=3)</w:t>
            </w:r>
          </w:p>
        </w:tc>
        <w:tc>
          <w:tcPr>
            <w:tcW w:w="1530" w:type="dxa"/>
            <w:vAlign w:val="center"/>
          </w:tcPr>
          <w:p w14:paraId="47B13F26" w14:textId="648FCCB2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(n=5)</w:t>
            </w:r>
          </w:p>
        </w:tc>
        <w:tc>
          <w:tcPr>
            <w:tcW w:w="1980" w:type="dxa"/>
          </w:tcPr>
          <w:p w14:paraId="75D07C5A" w14:textId="79D99BF1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(n=2)</w:t>
            </w:r>
          </w:p>
        </w:tc>
      </w:tr>
      <w:tr w:rsidR="00AA7BA0" w14:paraId="06490BC7" w14:textId="77777777" w:rsidTr="00B55E64">
        <w:trPr>
          <w:trHeight w:val="346"/>
        </w:trPr>
        <w:tc>
          <w:tcPr>
            <w:tcW w:w="3865" w:type="dxa"/>
            <w:vMerge/>
          </w:tcPr>
          <w:p w14:paraId="529BEF7D" w14:textId="77777777" w:rsidR="00AA7BA0" w:rsidRPr="00055E42" w:rsidRDefault="00AA7BA0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33F81CD" w14:textId="6CB078D8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 (n=15)</w:t>
            </w:r>
          </w:p>
        </w:tc>
        <w:tc>
          <w:tcPr>
            <w:tcW w:w="2070" w:type="dxa"/>
          </w:tcPr>
          <w:p w14:paraId="766364D2" w14:textId="04F6D2E7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17 (n=2)</w:t>
            </w:r>
          </w:p>
        </w:tc>
        <w:tc>
          <w:tcPr>
            <w:tcW w:w="1530" w:type="dxa"/>
            <w:vAlign w:val="center"/>
          </w:tcPr>
          <w:p w14:paraId="5E1FB3D7" w14:textId="64D751B8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(n=5)</w:t>
            </w:r>
          </w:p>
        </w:tc>
        <w:tc>
          <w:tcPr>
            <w:tcW w:w="1980" w:type="dxa"/>
          </w:tcPr>
          <w:p w14:paraId="014319FF" w14:textId="16EADB59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(n=2)</w:t>
            </w:r>
          </w:p>
        </w:tc>
      </w:tr>
      <w:tr w:rsidR="00AA7BA0" w14:paraId="4CEA0D9F" w14:textId="77777777" w:rsidTr="00B55E64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3B55975A" w14:textId="77777777" w:rsidR="00AA7BA0" w:rsidRPr="00055E42" w:rsidRDefault="00AA7BA0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5D9C36AA" w14:textId="77777777" w:rsidR="00AA7BA0" w:rsidRPr="00055E42" w:rsidRDefault="00AA7BA0" w:rsidP="00B55E6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A7BA0" w14:paraId="03C5A9F5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4A195BE3" w14:textId="77777777" w:rsidR="00AA7BA0" w:rsidRPr="00055E42" w:rsidRDefault="00AA7BA0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440" w:type="dxa"/>
          </w:tcPr>
          <w:p w14:paraId="49E6E61C" w14:textId="2509D8EF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47 (39.8%)</w:t>
            </w:r>
          </w:p>
        </w:tc>
        <w:tc>
          <w:tcPr>
            <w:tcW w:w="2070" w:type="dxa"/>
          </w:tcPr>
          <w:p w14:paraId="3A16A76C" w14:textId="494EB4B0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 (33.3%)</w:t>
            </w:r>
          </w:p>
        </w:tc>
        <w:tc>
          <w:tcPr>
            <w:tcW w:w="1530" w:type="dxa"/>
          </w:tcPr>
          <w:p w14:paraId="1221BF9E" w14:textId="3E8FAA44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24 (64.9%)</w:t>
            </w:r>
          </w:p>
        </w:tc>
        <w:tc>
          <w:tcPr>
            <w:tcW w:w="1980" w:type="dxa"/>
          </w:tcPr>
          <w:p w14:paraId="33C0BAA9" w14:textId="688336AE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7 (63.6%)</w:t>
            </w:r>
          </w:p>
        </w:tc>
      </w:tr>
      <w:tr w:rsidR="00AA7BA0" w14:paraId="54AA493D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5115D732" w14:textId="77777777" w:rsidR="00AA7BA0" w:rsidRPr="00055E42" w:rsidRDefault="00AA7BA0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440" w:type="dxa"/>
          </w:tcPr>
          <w:p w14:paraId="4DED8609" w14:textId="4AA6B385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52 (44.1%)</w:t>
            </w:r>
          </w:p>
        </w:tc>
        <w:tc>
          <w:tcPr>
            <w:tcW w:w="2070" w:type="dxa"/>
          </w:tcPr>
          <w:p w14:paraId="2C3BDE30" w14:textId="03349D49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(20%)</w:t>
            </w:r>
          </w:p>
        </w:tc>
        <w:tc>
          <w:tcPr>
            <w:tcW w:w="1530" w:type="dxa"/>
          </w:tcPr>
          <w:p w14:paraId="0FC7A5E4" w14:textId="59D32076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7 (18.9%)</w:t>
            </w:r>
          </w:p>
        </w:tc>
        <w:tc>
          <w:tcPr>
            <w:tcW w:w="1980" w:type="dxa"/>
          </w:tcPr>
          <w:p w14:paraId="7933D61F" w14:textId="5D8E2959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(18.2%)</w:t>
            </w:r>
          </w:p>
        </w:tc>
      </w:tr>
      <w:tr w:rsidR="00AA7BA0" w14:paraId="6421FBB6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23C88B3E" w14:textId="77777777" w:rsidR="00AA7BA0" w:rsidRPr="00055E42" w:rsidRDefault="00AA7BA0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440" w:type="dxa"/>
          </w:tcPr>
          <w:p w14:paraId="5F929A72" w14:textId="2FF30C8D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19 (16.1%)</w:t>
            </w:r>
          </w:p>
        </w:tc>
        <w:tc>
          <w:tcPr>
            <w:tcW w:w="2070" w:type="dxa"/>
          </w:tcPr>
          <w:p w14:paraId="163BE7DA" w14:textId="26AA6C2A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7 (46.7%)</w:t>
            </w:r>
          </w:p>
        </w:tc>
        <w:tc>
          <w:tcPr>
            <w:tcW w:w="1530" w:type="dxa"/>
          </w:tcPr>
          <w:p w14:paraId="133A40E8" w14:textId="1D6BA044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(16.2%)</w:t>
            </w:r>
          </w:p>
        </w:tc>
        <w:tc>
          <w:tcPr>
            <w:tcW w:w="1980" w:type="dxa"/>
          </w:tcPr>
          <w:p w14:paraId="3CD8CC4A" w14:textId="46CA1193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(18.2%)</w:t>
            </w:r>
          </w:p>
        </w:tc>
      </w:tr>
      <w:tr w:rsidR="00AA7BA0" w14:paraId="2097E530" w14:textId="77777777" w:rsidTr="00B55E64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06C2643D" w14:textId="77777777" w:rsidR="00AA7BA0" w:rsidRPr="00055E42" w:rsidRDefault="00AA7BA0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6A8C39F2" w14:textId="77777777" w:rsidR="00AA7BA0" w:rsidRPr="00055E42" w:rsidRDefault="00AA7BA0" w:rsidP="00B55E6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A7BA0" w14:paraId="37ABE42E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7E4027F8" w14:textId="77777777" w:rsidR="00AA7BA0" w:rsidRPr="00055E42" w:rsidRDefault="00AA7BA0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440" w:type="dxa"/>
          </w:tcPr>
          <w:p w14:paraId="7E4A4482" w14:textId="1900E2E6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99 (83.9%)</w:t>
            </w:r>
          </w:p>
        </w:tc>
        <w:tc>
          <w:tcPr>
            <w:tcW w:w="2070" w:type="dxa"/>
          </w:tcPr>
          <w:p w14:paraId="02333354" w14:textId="708C19FC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12 (80%)</w:t>
            </w:r>
          </w:p>
        </w:tc>
        <w:tc>
          <w:tcPr>
            <w:tcW w:w="1530" w:type="dxa"/>
          </w:tcPr>
          <w:p w14:paraId="0144D9FD" w14:textId="7855E418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31 (83.8%)</w:t>
            </w:r>
          </w:p>
        </w:tc>
        <w:tc>
          <w:tcPr>
            <w:tcW w:w="1980" w:type="dxa"/>
          </w:tcPr>
          <w:p w14:paraId="496B626E" w14:textId="4520D614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 (90.9%)</w:t>
            </w:r>
          </w:p>
        </w:tc>
      </w:tr>
      <w:tr w:rsidR="00AA7BA0" w14:paraId="50023615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585D97B8" w14:textId="77777777" w:rsidR="00AA7BA0" w:rsidRPr="00055E42" w:rsidRDefault="00AA7BA0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440" w:type="dxa"/>
          </w:tcPr>
          <w:p w14:paraId="199253F9" w14:textId="764B59ED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19 (16.1%)</w:t>
            </w:r>
          </w:p>
        </w:tc>
        <w:tc>
          <w:tcPr>
            <w:tcW w:w="2070" w:type="dxa"/>
          </w:tcPr>
          <w:p w14:paraId="1DAC410A" w14:textId="30C91119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(20%)</w:t>
            </w:r>
          </w:p>
        </w:tc>
        <w:tc>
          <w:tcPr>
            <w:tcW w:w="1530" w:type="dxa"/>
          </w:tcPr>
          <w:p w14:paraId="7447DE58" w14:textId="06684783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 (13.5%)</w:t>
            </w:r>
          </w:p>
        </w:tc>
        <w:tc>
          <w:tcPr>
            <w:tcW w:w="1980" w:type="dxa"/>
          </w:tcPr>
          <w:p w14:paraId="0429BB47" w14:textId="74C2AC87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(9.1%)</w:t>
            </w:r>
          </w:p>
        </w:tc>
      </w:tr>
      <w:tr w:rsidR="00AA7BA0" w14:paraId="7CC723D2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7FE1B2AB" w14:textId="77777777" w:rsidR="00AA7BA0" w:rsidRPr="00055E42" w:rsidRDefault="00AA7BA0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440" w:type="dxa"/>
          </w:tcPr>
          <w:p w14:paraId="109051AB" w14:textId="43C5CB84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70" w:type="dxa"/>
          </w:tcPr>
          <w:p w14:paraId="0B99D73B" w14:textId="2CA1BF54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27E29833" w14:textId="6227EB57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(2.7%)</w:t>
            </w:r>
          </w:p>
        </w:tc>
        <w:tc>
          <w:tcPr>
            <w:tcW w:w="1980" w:type="dxa"/>
          </w:tcPr>
          <w:p w14:paraId="3AF5A4FC" w14:textId="6B61A39D" w:rsidR="00AA7BA0" w:rsidRPr="00055E42" w:rsidRDefault="00B01CEB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7EB62C0B" w14:textId="77777777" w:rsidR="00AA7BA0" w:rsidRDefault="00AA7BA0" w:rsidP="00AA7BA0">
      <w:pPr>
        <w:rPr>
          <w:rFonts w:ascii="Times New Roman" w:hAnsi="Times New Roman" w:cs="Times New Roman"/>
          <w:sz w:val="22"/>
          <w:szCs w:val="22"/>
        </w:rPr>
      </w:pPr>
    </w:p>
    <w:p w14:paraId="2DC48C78" w14:textId="77777777" w:rsidR="00AA7BA0" w:rsidRPr="00626572" w:rsidRDefault="00AA7BA0" w:rsidP="00AA7BA0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May 2024 &amp; this month is June 2024</w:t>
      </w:r>
    </w:p>
    <w:p w14:paraId="684DB5C7" w14:textId="77777777" w:rsidR="00AA7BA0" w:rsidRPr="000D7308" w:rsidRDefault="00AA7BA0" w:rsidP="00AA7B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4462E2D4" w14:textId="470A62F9" w:rsidR="004C5E0F" w:rsidRDefault="004C5E0F" w:rsidP="004C5E0F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4C5E0F">
        <w:rPr>
          <w:rFonts w:eastAsia="Arial"/>
          <w:color w:val="000000" w:themeColor="text1"/>
          <w:sz w:val="20"/>
          <w:szCs w:val="20"/>
        </w:rPr>
        <w:t>"91823B" "9523"   "91823A" "92123"  "10423B" "10623A" "1424"   "1924A" "1924B"  "11224"  "11724C"</w:t>
      </w:r>
    </w:p>
    <w:p w14:paraId="0CB07E0D" w14:textId="7483CA83" w:rsidR="004C5E0F" w:rsidRDefault="004C5E0F" w:rsidP="004C5E0F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4C5E0F">
        <w:rPr>
          <w:rFonts w:eastAsia="Arial"/>
          <w:color w:val="000000" w:themeColor="text1"/>
          <w:sz w:val="20"/>
          <w:szCs w:val="20"/>
        </w:rPr>
        <w:t>"11824"  "2224A"  "2524C"  "2924"   "22624" "3224"   "31324A" "31324B" "32224A" "32324"  "32824A" "32824B"</w:t>
      </w:r>
    </w:p>
    <w:p w14:paraId="3D5A75EE" w14:textId="613C36DA" w:rsidR="004C5E0F" w:rsidRPr="004C5E0F" w:rsidRDefault="004C5E0F" w:rsidP="004C5E0F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4C5E0F">
        <w:rPr>
          <w:rFonts w:eastAsia="Arial"/>
          <w:color w:val="000000" w:themeColor="text1"/>
          <w:sz w:val="20"/>
          <w:szCs w:val="20"/>
        </w:rPr>
        <w:t>"42324B"</w:t>
      </w:r>
      <w:r>
        <w:rPr>
          <w:rFonts w:eastAsia="Arial"/>
          <w:color w:val="000000" w:themeColor="text1"/>
          <w:sz w:val="20"/>
          <w:szCs w:val="20"/>
        </w:rPr>
        <w:t xml:space="preserve"> </w:t>
      </w:r>
      <w:r w:rsidRPr="004C5E0F">
        <w:rPr>
          <w:rFonts w:eastAsia="Arial"/>
          <w:color w:val="000000" w:themeColor="text1"/>
          <w:sz w:val="20"/>
          <w:szCs w:val="20"/>
        </w:rPr>
        <w:t>"42524"  "51624B" "6124"   "6524A"  "6524B"  "6724B"  "61824C" "62024" "62524"  "62624"</w:t>
      </w:r>
    </w:p>
    <w:p w14:paraId="08437980" w14:textId="77777777" w:rsidR="00AA7BA0" w:rsidRDefault="00AA7BA0" w:rsidP="00AA7BA0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1F98CDB0" w14:textId="77777777" w:rsidR="00AA7BA0" w:rsidRDefault="00AA7BA0" w:rsidP="00AA7BA0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191AE897" w14:textId="77777777" w:rsidR="00B65780" w:rsidRDefault="00B65780" w:rsidP="00AA7B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</w:p>
    <w:p w14:paraId="44179687" w14:textId="0B38B240" w:rsidR="00AA7BA0" w:rsidRPr="000D7308" w:rsidRDefault="00AA7BA0" w:rsidP="00AA7B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lastRenderedPageBreak/>
        <w:t>Key Terms and Definitions</w:t>
      </w:r>
    </w:p>
    <w:p w14:paraId="57F69EB8" w14:textId="77777777" w:rsidR="00AA7BA0" w:rsidRDefault="00AA7BA0" w:rsidP="00AA7BA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2B33E557" w14:textId="77777777" w:rsidR="00AA7BA0" w:rsidRDefault="00AA7BA0" w:rsidP="00AA7BA0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0F2150C" w14:textId="77777777" w:rsidR="00AA7BA0" w:rsidRDefault="00AA7BA0" w:rsidP="00AA7BA0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21E2A0D" w14:textId="77777777" w:rsidR="00AA7BA0" w:rsidRDefault="00AA7BA0" w:rsidP="00AA7BA0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3A401382" w14:textId="77777777" w:rsidR="00AA7BA0" w:rsidRDefault="00AA7BA0" w:rsidP="00AA7BA0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47393EEA" w14:textId="77777777" w:rsidR="00AA7BA0" w:rsidRDefault="00AA7BA0" w:rsidP="00AA7BA0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A2F64EE" w14:textId="77777777" w:rsidR="00AA7BA0" w:rsidRDefault="00AA7BA0" w:rsidP="00AA7BA0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73FFB12" w14:textId="77777777" w:rsidR="00AA7BA0" w:rsidRDefault="00AA7BA0" w:rsidP="00AA7BA0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3C8F97B6" w14:textId="77777777" w:rsidR="00AA7BA0" w:rsidRDefault="00AA7BA0" w:rsidP="00AA7BA0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6BBC0778" w14:textId="77777777" w:rsidR="00AA7BA0" w:rsidRDefault="00AA7BA0" w:rsidP="00AA7BA0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criteria </w:t>
      </w:r>
    </w:p>
    <w:p w14:paraId="27776515" w14:textId="77777777" w:rsidR="00AA7BA0" w:rsidRPr="00D7271F" w:rsidRDefault="00AA7BA0" w:rsidP="00AA7BA0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A6D8C0E" w14:textId="77777777" w:rsidR="00AA7BA0" w:rsidRDefault="00AA7BA0" w:rsidP="00AA7BA0">
      <w:pPr>
        <w:rPr>
          <w:rFonts w:ascii="Times New Roman" w:hAnsi="Times New Roman" w:cs="Times New Roman"/>
          <w:sz w:val="22"/>
          <w:szCs w:val="22"/>
        </w:rPr>
      </w:pPr>
    </w:p>
    <w:p w14:paraId="47A2BC1E" w14:textId="77777777" w:rsidR="00AA7BA0" w:rsidRPr="00EC4EEF" w:rsidRDefault="00AA7BA0" w:rsidP="00AA7BA0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612AFD3C" w14:textId="77777777" w:rsidR="00FA07FE" w:rsidRDefault="00AA7BA0" w:rsidP="00AA7BA0">
      <w:pPr>
        <w:rPr>
          <w:rFonts w:ascii="Calibri" w:hAnsi="Calibri" w:cs="Calibri"/>
        </w:rPr>
      </w:pPr>
      <w:r w:rsidRPr="001F1E90">
        <w:rPr>
          <w:rFonts w:ascii="Calibri" w:hAnsi="Calibri" w:cs="Calibri"/>
        </w:rPr>
        <w:t xml:space="preserve">Based on the Inappropriate Diagnosis of UTI Measure, your hospital is a performing </w:t>
      </w:r>
      <w:r w:rsidR="00FA07FE">
        <w:rPr>
          <w:rFonts w:ascii="Calibri" w:hAnsi="Calibri" w:cs="Calibri"/>
          <w:b/>
          <w:bCs/>
        </w:rPr>
        <w:t>above</w:t>
      </w:r>
      <w:r>
        <w:rPr>
          <w:rFonts w:ascii="Calibri" w:hAnsi="Calibri" w:cs="Calibri"/>
          <w:b/>
          <w:bCs/>
        </w:rPr>
        <w:t xml:space="preserve"> average</w:t>
      </w:r>
      <w:r w:rsidRPr="001F1E90">
        <w:rPr>
          <w:rFonts w:ascii="Calibri" w:hAnsi="Calibri" w:cs="Calibri"/>
        </w:rPr>
        <w:t xml:space="preserve"> in terms of percentage of UTI cases that were actually ASB. </w:t>
      </w:r>
      <w:r w:rsidR="00FA07FE" w:rsidRPr="00FA07FE">
        <w:rPr>
          <w:rFonts w:ascii="Calibri" w:hAnsi="Calibri" w:cs="Calibri"/>
          <w:b/>
          <w:bCs/>
        </w:rPr>
        <w:t>GREAT work</w:t>
      </w:r>
      <w:r>
        <w:rPr>
          <w:rFonts w:ascii="Calibri" w:hAnsi="Calibri" w:cs="Calibri"/>
        </w:rPr>
        <w:t>!</w:t>
      </w:r>
      <w:r w:rsidRPr="001F1E90">
        <w:rPr>
          <w:rFonts w:ascii="Calibri" w:hAnsi="Calibri" w:cs="Calibri"/>
        </w:rPr>
        <w:t xml:space="preserve"> </w:t>
      </w:r>
    </w:p>
    <w:p w14:paraId="4917AC3B" w14:textId="2404A497" w:rsidR="00AA7BA0" w:rsidRPr="001F1E90" w:rsidRDefault="00AA7BA0" w:rsidP="00AA7BA0">
      <w:pPr>
        <w:rPr>
          <w:rFonts w:ascii="Calibri" w:hAnsi="Calibri" w:cs="Calibri"/>
        </w:rPr>
      </w:pPr>
      <w:r w:rsidRPr="001F1E90">
        <w:rPr>
          <w:rFonts w:ascii="Calibri" w:hAnsi="Calibri" w:cs="Calibri"/>
        </w:rPr>
        <w:t xml:space="preserve">Additional comments: </w:t>
      </w:r>
    </w:p>
    <w:p w14:paraId="2C372B67" w14:textId="77777777" w:rsidR="00AA7BA0" w:rsidRPr="001F1E90" w:rsidRDefault="00AA7BA0" w:rsidP="00AA7BA0">
      <w:pPr>
        <w:rPr>
          <w:rStyle w:val="normaltextrun"/>
          <w:rFonts w:ascii="Calibri" w:hAnsi="Calibri" w:cs="Calibri"/>
        </w:rPr>
      </w:pPr>
      <w:r w:rsidRPr="001F1E90">
        <w:rPr>
          <w:rStyle w:val="normaltextrun"/>
          <w:rFonts w:ascii="Calibri" w:hAnsi="Calibri" w:cs="Calibri"/>
          <w:b/>
          <w:bCs/>
        </w:rPr>
        <w:t>Positives to Highlight</w:t>
      </w:r>
      <w:r w:rsidRPr="001F1E90">
        <w:rPr>
          <w:rStyle w:val="normaltextrun"/>
          <w:rFonts w:ascii="Calibri" w:hAnsi="Calibri" w:cs="Calibri"/>
        </w:rPr>
        <w:t>:</w:t>
      </w:r>
    </w:p>
    <w:p w14:paraId="5661471A" w14:textId="0844A0EB" w:rsidR="00DF4E2E" w:rsidRPr="00E53FDF" w:rsidRDefault="00DF4E2E" w:rsidP="00DF4E2E">
      <w:pPr>
        <w:pStyle w:val="ListParagraph"/>
        <w:numPr>
          <w:ilvl w:val="0"/>
          <w:numId w:val="7"/>
        </w:numPr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Site is performing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above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average in terms of the percentage of UTI cases that were actually ASB! </w:t>
      </w:r>
      <w:r w:rsidRPr="00E53FD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This is amazing, please continue this work!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6CF19200" w14:textId="2CEDE40C" w:rsidR="00DF4E2E" w:rsidRPr="00E53FDF" w:rsidRDefault="00DF4E2E" w:rsidP="00DF4E2E">
      <w:pPr>
        <w:pStyle w:val="ListParagraph"/>
        <w:numPr>
          <w:ilvl w:val="0"/>
          <w:numId w:val="7"/>
        </w:numPr>
        <w:rPr>
          <w:rStyle w:val="eop"/>
        </w:rPr>
      </w:pPr>
      <w:r w:rsidRPr="000D222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Low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prevalence of ASB</w:t>
      </w:r>
      <w:r w:rsidRPr="000D222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The prevalence rate of ASB at your site has continued to decrease (2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%)</w:t>
      </w:r>
      <w:r w:rsidRPr="000D222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Great job!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Your site is starting to improve who they obtain urine studies in and decreasing collection in asymptomatic patients.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As one and every four patients still have ASB, k</w:t>
      </w:r>
      <w:r w:rsidRPr="000D222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eep working on this.</w:t>
      </w:r>
      <w:r w:rsidRPr="000D2228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0A7AF6E0" w14:textId="2A2C1924" w:rsidR="00DF4E2E" w:rsidRDefault="00DF4E2E" w:rsidP="00DF4E2E">
      <w:pPr>
        <w:pStyle w:val="ListParagraph"/>
        <w:numPr>
          <w:ilvl w:val="0"/>
          <w:numId w:val="7"/>
        </w:numPr>
      </w:pPr>
      <w:r w:rsidRPr="00E53FDF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High nitrofurantoin and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narrow spectrum </w:t>
      </w:r>
      <w:r w:rsidRPr="00E53FDF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cephalosporin use:</w:t>
      </w:r>
      <w:r w:rsidRPr="00E53FD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Less harmful/more narrow therapy use is high at your site! Great job!</w:t>
      </w:r>
      <w:r w:rsidRPr="00E53FDF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04F3D089" w14:textId="77777777" w:rsidR="00DF4E2E" w:rsidRPr="00745FCE" w:rsidRDefault="00DF4E2E" w:rsidP="00DF4E2E">
      <w:pPr>
        <w:pStyle w:val="ListParagraph"/>
        <w:numPr>
          <w:ilvl w:val="0"/>
          <w:numId w:val="7"/>
        </w:numPr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Met case submission requirement: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Great job submitting cases! Celebrate this success!</w:t>
      </w:r>
    </w:p>
    <w:p w14:paraId="29ED6F92" w14:textId="77777777" w:rsidR="00AA7BA0" w:rsidRDefault="00AA7BA0" w:rsidP="00AA7BA0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Areas of Improvement</w:t>
      </w:r>
      <w:r w:rsidRPr="001F1E90">
        <w:rPr>
          <w:rStyle w:val="normaltextrun"/>
          <w:rFonts w:ascii="Calibri" w:hAnsi="Calibri" w:cs="Calibri"/>
        </w:rPr>
        <w:t>:</w:t>
      </w:r>
    </w:p>
    <w:p w14:paraId="47FBB195" w14:textId="2CA51346" w:rsidR="00DF4E2E" w:rsidRPr="00E53FDF" w:rsidRDefault="00DF4E2E" w:rsidP="00DF4E2E">
      <w:pPr>
        <w:pStyle w:val="ListParagraph"/>
        <w:numPr>
          <w:ilvl w:val="0"/>
          <w:numId w:val="6"/>
        </w:num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Treatment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rate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of ASB is 7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%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Although this trend has improved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(decreased from 79% on last report to 71% this report)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, please continue to focus on decreasing the rate of treatment in those found to have ASB.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4A27C8D5" w14:textId="47B09736" w:rsidR="00DF4E2E" w:rsidRPr="00E53FDF" w:rsidRDefault="00DF4E2E" w:rsidP="00DF4E2E">
      <w:pPr>
        <w:pStyle w:val="ListParagraph"/>
        <w:numPr>
          <w:ilvl w:val="0"/>
          <w:numId w:val="6"/>
        </w:numPr>
        <w:rPr>
          <w:rStyle w:val="normaltextrun"/>
          <w:rFonts w:ascii="Calibri" w:hAnsi="Calibri" w:cs="Calibri"/>
          <w:sz w:val="22"/>
          <w:szCs w:val="22"/>
        </w:rPr>
      </w:pPr>
      <w:r w:rsidRPr="00E53FDF">
        <w:rPr>
          <w:rStyle w:val="normaltextrun"/>
          <w:rFonts w:ascii="Calibri" w:hAnsi="Calibri" w:cs="Calibri"/>
          <w:b/>
          <w:bCs/>
          <w:sz w:val="22"/>
          <w:szCs w:val="22"/>
        </w:rPr>
        <w:t>Treatment duration remains high in treated ASB</w:t>
      </w:r>
      <w:r w:rsidRPr="00E53FDF"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Pr="00E53FD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If convincing clinicians to stop prescribing antibiotics for ASB is a challenge at your hospital, it might be easier to convince them to prescribe short durations (eg. 3 days).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However, given &gt;90% of treated ASB patients at your site are seen in the ambulatory care setting and ED then discharged, I do want to recognize that shortening treatment duration of ASB is more challenging.</w:t>
      </w:r>
    </w:p>
    <w:p w14:paraId="681FE8F6" w14:textId="6C72F1EE" w:rsidR="00ED7E2F" w:rsidRDefault="00ED7E2F" w:rsidP="00DF4E2E">
      <w:pPr>
        <w:pStyle w:val="ListParagraph"/>
      </w:pPr>
    </w:p>
    <w:sectPr w:rsidR="00ED7E2F" w:rsidSect="00AA7B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D1187"/>
    <w:multiLevelType w:val="hybridMultilevel"/>
    <w:tmpl w:val="25F4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64CB5"/>
    <w:multiLevelType w:val="hybridMultilevel"/>
    <w:tmpl w:val="0D76D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EB694F"/>
    <w:multiLevelType w:val="hybridMultilevel"/>
    <w:tmpl w:val="896C9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7"/>
  </w:num>
  <w:num w:numId="2" w16cid:durableId="1479179186">
    <w:abstractNumId w:val="4"/>
  </w:num>
  <w:num w:numId="3" w16cid:durableId="642777174">
    <w:abstractNumId w:val="6"/>
  </w:num>
  <w:num w:numId="4" w16cid:durableId="87503233">
    <w:abstractNumId w:val="3"/>
  </w:num>
  <w:num w:numId="5" w16cid:durableId="1625503733">
    <w:abstractNumId w:val="0"/>
  </w:num>
  <w:num w:numId="6" w16cid:durableId="745568731">
    <w:abstractNumId w:val="2"/>
  </w:num>
  <w:num w:numId="7" w16cid:durableId="599875287">
    <w:abstractNumId w:val="5"/>
  </w:num>
  <w:num w:numId="8" w16cid:durableId="2141847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A0"/>
    <w:rsid w:val="000F680E"/>
    <w:rsid w:val="001061E4"/>
    <w:rsid w:val="00137C2F"/>
    <w:rsid w:val="001D436E"/>
    <w:rsid w:val="002F1189"/>
    <w:rsid w:val="003135CC"/>
    <w:rsid w:val="004B5443"/>
    <w:rsid w:val="004C5E0F"/>
    <w:rsid w:val="00642FF8"/>
    <w:rsid w:val="007704D8"/>
    <w:rsid w:val="007E1050"/>
    <w:rsid w:val="009759DE"/>
    <w:rsid w:val="0098715D"/>
    <w:rsid w:val="00AA7BA0"/>
    <w:rsid w:val="00B01CEB"/>
    <w:rsid w:val="00B02C9B"/>
    <w:rsid w:val="00B65780"/>
    <w:rsid w:val="00CC0D9B"/>
    <w:rsid w:val="00DF4E2E"/>
    <w:rsid w:val="00E274D6"/>
    <w:rsid w:val="00ED7E2F"/>
    <w:rsid w:val="00FA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AA4A"/>
  <w15:chartTrackingRefBased/>
  <w15:docId w15:val="{998A4B2D-BA1A-6646-B36B-415E117B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BA0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B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B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B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B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B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B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B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B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B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BA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AA7BA0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AA7BA0"/>
    <w:rPr>
      <w:kern w:val="0"/>
      <w14:ligatures w14:val="none"/>
    </w:rPr>
  </w:style>
  <w:style w:type="table" w:customStyle="1" w:styleId="Table">
    <w:name w:val="Table"/>
    <w:semiHidden/>
    <w:unhideWhenUsed/>
    <w:qFormat/>
    <w:rsid w:val="00AA7BA0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AA7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A7B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A7BA0"/>
  </w:style>
  <w:style w:type="character" w:customStyle="1" w:styleId="eop">
    <w:name w:val="eop"/>
    <w:basedOn w:val="DefaultParagraphFont"/>
    <w:rsid w:val="00AA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Hartlage, Whitney</cp:lastModifiedBy>
  <cp:revision>25</cp:revision>
  <dcterms:created xsi:type="dcterms:W3CDTF">2024-07-11T18:48:00Z</dcterms:created>
  <dcterms:modified xsi:type="dcterms:W3CDTF">2024-07-16T19:31:00Z</dcterms:modified>
</cp:coreProperties>
</file>