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3A230F" w:rsidRPr="00DA7E40" w14:paraId="1420BC2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6E7A" w14:textId="7C34D30E" w:rsidR="003A230F" w:rsidRPr="003D6724" w:rsidRDefault="003A230F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Steele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2E4A1144" w14:textId="77777777" w:rsidR="003A230F" w:rsidRPr="00A40F80" w:rsidRDefault="003A230F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6A853A76" w14:textId="77777777" w:rsidR="003A230F" w:rsidRPr="00734BE2" w:rsidRDefault="003A230F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46DDE9BF" w14:textId="000BF3B8" w:rsidR="003A230F" w:rsidRPr="000D7308" w:rsidRDefault="00BB3431" w:rsidP="003A230F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6549EFEF" wp14:editId="4EFF9ECB">
            <wp:simplePos x="0" y="0"/>
            <wp:positionH relativeFrom="column">
              <wp:posOffset>0</wp:posOffset>
            </wp:positionH>
            <wp:positionV relativeFrom="paragraph">
              <wp:posOffset>422171</wp:posOffset>
            </wp:positionV>
            <wp:extent cx="3034665" cy="3655060"/>
            <wp:effectExtent l="0" t="0" r="635" b="2540"/>
            <wp:wrapThrough wrapText="bothSides">
              <wp:wrapPolygon edited="0">
                <wp:start x="0" y="0"/>
                <wp:lineTo x="0" y="21540"/>
                <wp:lineTo x="21514" y="21540"/>
                <wp:lineTo x="21514" y="0"/>
                <wp:lineTo x="0" y="0"/>
              </wp:wrapPolygon>
            </wp:wrapThrough>
            <wp:docPr id="615371333" name="Picture 1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71333" name="Picture 1" descr="A graph of a number of cas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30F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4A5D2139" w14:textId="13996D8A" w:rsidR="003A230F" w:rsidRPr="00DA7E40" w:rsidRDefault="009F718B" w:rsidP="003A230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7071FA5" wp14:editId="299AC4A3">
            <wp:simplePos x="0" y="0"/>
            <wp:positionH relativeFrom="column">
              <wp:posOffset>3127818</wp:posOffset>
            </wp:positionH>
            <wp:positionV relativeFrom="paragraph">
              <wp:posOffset>368566</wp:posOffset>
            </wp:positionV>
            <wp:extent cx="3743325" cy="2571115"/>
            <wp:effectExtent l="0" t="0" r="3175" b="0"/>
            <wp:wrapThrough wrapText="bothSides">
              <wp:wrapPolygon edited="0">
                <wp:start x="0" y="0"/>
                <wp:lineTo x="0" y="21445"/>
                <wp:lineTo x="21545" y="21445"/>
                <wp:lineTo x="21545" y="0"/>
                <wp:lineTo x="0" y="0"/>
              </wp:wrapPolygon>
            </wp:wrapThrough>
            <wp:docPr id="995108692" name="Picture 1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08692" name="Picture 1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3A230F" w:rsidRPr="00DA7E40" w14:paraId="632FE1B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6391" w14:textId="77777777" w:rsidR="003A230F" w:rsidRPr="00AA79B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6288A60A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040E0A" wp14:editId="2A9B454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1A3E0D" w14:textId="4F9C1D49" w:rsidR="003A230F" w:rsidRPr="00D8182B" w:rsidRDefault="003A230F" w:rsidP="003A230F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087E5F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34.5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00CB5A82" w14:textId="77777777" w:rsidR="003A230F" w:rsidRPr="00D7271F" w:rsidRDefault="003A230F" w:rsidP="003A230F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145BE247" w14:textId="77777777" w:rsidR="003A230F" w:rsidRDefault="003A230F" w:rsidP="003A230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2404885A" w14:textId="77777777" w:rsidR="003A230F" w:rsidRPr="00D3481D" w:rsidRDefault="003A230F" w:rsidP="003A230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5CEF9968" w14:textId="77777777" w:rsidR="003A230F" w:rsidRPr="00D3481D" w:rsidRDefault="003A230F" w:rsidP="003A230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6EDD0F85" w14:textId="77777777" w:rsidR="003A230F" w:rsidRPr="00D7271F" w:rsidRDefault="003A230F" w:rsidP="003A230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040E0A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" filled="f" strokecolor="#e97132 [3205]" strokeweight="2.25pt">
                      <v:stroke joinstyle="miter"/>
                      <v:textbox>
                        <w:txbxContent>
                          <w:p w14:paraId="631A3E0D" w14:textId="4F9C1D49" w:rsidR="003A230F" w:rsidRPr="00D8182B" w:rsidRDefault="003A230F" w:rsidP="003A230F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87E5F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34.5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00CB5A82" w14:textId="77777777" w:rsidR="003A230F" w:rsidRPr="00D7271F" w:rsidRDefault="003A230F" w:rsidP="003A230F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145BE247" w14:textId="77777777" w:rsidR="003A230F" w:rsidRDefault="003A230F" w:rsidP="003A23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2404885A" w14:textId="77777777" w:rsidR="003A230F" w:rsidRPr="00D3481D" w:rsidRDefault="003A230F" w:rsidP="003A23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5CEF9968" w14:textId="77777777" w:rsidR="003A230F" w:rsidRPr="00D3481D" w:rsidRDefault="003A230F" w:rsidP="003A230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6EDD0F85" w14:textId="77777777" w:rsidR="003A230F" w:rsidRPr="00D7271F" w:rsidRDefault="003A230F" w:rsidP="003A230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56AAEB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AE7D8AE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B7066DA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226724A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7FB6A75" w14:textId="77777777" w:rsidR="003A230F" w:rsidRPr="00734BE2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230F" w:rsidRPr="00DA7E40" w14:paraId="140B53CC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3A2B" w14:textId="77777777" w:rsidR="003A230F" w:rsidRPr="0031242E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3A230F" w:rsidRPr="00DA7E40" w14:paraId="558EE781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7A3A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E4FB0A0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237D4C1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2E98F82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5334C30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BFEB5BC" w14:textId="77777777" w:rsidR="003A230F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66542384" w14:textId="77777777" w:rsidR="003A230F" w:rsidRDefault="003A230F" w:rsidP="003A230F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4E36F1F" w14:textId="77777777" w:rsidR="003A230F" w:rsidRDefault="003A230F" w:rsidP="003A230F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42ACEE0" w14:textId="77777777" w:rsidR="003A230F" w:rsidRDefault="003A230F" w:rsidP="003A230F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94F66AD" w14:textId="77777777" w:rsidR="003A230F" w:rsidRDefault="003A230F" w:rsidP="003A230F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622EBFD" w14:textId="77777777" w:rsidR="003A230F" w:rsidRDefault="003A230F" w:rsidP="003A230F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4C42D64" w14:textId="610D9DFC" w:rsidR="003A230F" w:rsidRPr="000D7308" w:rsidRDefault="00BB3431" w:rsidP="003A230F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0528" behindDoc="0" locked="0" layoutInCell="1" allowOverlap="1" wp14:anchorId="643B7338" wp14:editId="3B4E898C">
            <wp:simplePos x="0" y="0"/>
            <wp:positionH relativeFrom="column">
              <wp:posOffset>3500120</wp:posOffset>
            </wp:positionH>
            <wp:positionV relativeFrom="paragraph">
              <wp:posOffset>339725</wp:posOffset>
            </wp:positionV>
            <wp:extent cx="3610610" cy="2003425"/>
            <wp:effectExtent l="0" t="0" r="0" b="3175"/>
            <wp:wrapThrough wrapText="bothSides">
              <wp:wrapPolygon edited="0">
                <wp:start x="0" y="0"/>
                <wp:lineTo x="0" y="21497"/>
                <wp:lineTo x="21501" y="21497"/>
                <wp:lineTo x="21501" y="0"/>
                <wp:lineTo x="0" y="0"/>
              </wp:wrapPolygon>
            </wp:wrapThrough>
            <wp:docPr id="1755911800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11800" name="Picture 3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6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875382D" wp14:editId="00A0FE75">
            <wp:simplePos x="0" y="0"/>
            <wp:positionH relativeFrom="column">
              <wp:posOffset>-223520</wp:posOffset>
            </wp:positionH>
            <wp:positionV relativeFrom="paragraph">
              <wp:posOffset>339725</wp:posOffset>
            </wp:positionV>
            <wp:extent cx="3689350" cy="2011680"/>
            <wp:effectExtent l="0" t="0" r="6350" b="0"/>
            <wp:wrapThrough wrapText="bothSides">
              <wp:wrapPolygon edited="0">
                <wp:start x="0" y="0"/>
                <wp:lineTo x="0" y="21409"/>
                <wp:lineTo x="21563" y="21409"/>
                <wp:lineTo x="21563" y="0"/>
                <wp:lineTo x="0" y="0"/>
              </wp:wrapPolygon>
            </wp:wrapThrough>
            <wp:docPr id="189686618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6618" name="Picture 2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30F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3A230F">
        <w:rPr>
          <w:b/>
          <w:bCs/>
          <w:sz w:val="28"/>
          <w:szCs w:val="28"/>
          <w:u w:val="single"/>
        </w:rPr>
        <w:t xml:space="preserve">Rate </w:t>
      </w:r>
      <w:r w:rsidR="003A230F" w:rsidRPr="000D7308">
        <w:rPr>
          <w:b/>
          <w:bCs/>
          <w:sz w:val="28"/>
          <w:szCs w:val="28"/>
          <w:u w:val="single"/>
        </w:rPr>
        <w:t xml:space="preserve">of ASB </w:t>
      </w:r>
    </w:p>
    <w:p w14:paraId="450E1F0F" w14:textId="58E1F266" w:rsidR="003A230F" w:rsidRPr="00D8182B" w:rsidRDefault="00BB3431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7DFB3" wp14:editId="601FB79D">
                <wp:simplePos x="0" y="0"/>
                <wp:positionH relativeFrom="column">
                  <wp:posOffset>-223283</wp:posOffset>
                </wp:positionH>
                <wp:positionV relativeFrom="paragraph">
                  <wp:posOffset>2305404</wp:posOffset>
                </wp:positionV>
                <wp:extent cx="3658856" cy="525780"/>
                <wp:effectExtent l="12700" t="12700" r="1206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856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E2FBE" w14:textId="77777777" w:rsidR="003A230F" w:rsidRPr="00626572" w:rsidRDefault="003A230F" w:rsidP="003A230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7DFB3" id="_x0000_s1027" style="position:absolute;margin-left:-17.6pt;margin-top:181.55pt;width:288.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" filled="f" strokecolor="#0f4761 [2404]" strokeweight="1.5pt">
                <v:stroke joinstyle="miter"/>
                <v:textbox>
                  <w:txbxContent>
                    <w:p w14:paraId="486E2FBE" w14:textId="77777777" w:rsidR="003A230F" w:rsidRPr="00626572" w:rsidRDefault="003A230F" w:rsidP="003A230F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3A230F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3A230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49CA5219" w14:textId="07C7374B" w:rsidR="003A230F" w:rsidRDefault="00BB3431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BC537" wp14:editId="1E5F6047">
                <wp:simplePos x="0" y="0"/>
                <wp:positionH relativeFrom="column">
                  <wp:posOffset>3585240</wp:posOffset>
                </wp:positionH>
                <wp:positionV relativeFrom="paragraph">
                  <wp:posOffset>67502</wp:posOffset>
                </wp:positionV>
                <wp:extent cx="3315290" cy="525780"/>
                <wp:effectExtent l="12700" t="12700" r="12700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290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F2656" w14:textId="77777777" w:rsidR="003A230F" w:rsidRDefault="003A230F" w:rsidP="003A230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37BE9246" w14:textId="77777777" w:rsidR="003A230F" w:rsidRPr="00626572" w:rsidRDefault="003A230F" w:rsidP="003A230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24FE69E3" w14:textId="77777777" w:rsidR="003A230F" w:rsidRPr="00626572" w:rsidRDefault="003A230F" w:rsidP="003A23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BC537" id="_x0000_s1028" style="position:absolute;margin-left:282.3pt;margin-top:5.3pt;width:261.0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" filled="f" strokecolor="#0f4761 [2404]" strokeweight="1.5pt">
                <v:stroke joinstyle="miter"/>
                <v:textbox>
                  <w:txbxContent>
                    <w:p w14:paraId="3D8F2656" w14:textId="77777777" w:rsidR="003A230F" w:rsidRDefault="003A230F" w:rsidP="003A230F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37BE9246" w14:textId="77777777" w:rsidR="003A230F" w:rsidRPr="00626572" w:rsidRDefault="003A230F" w:rsidP="003A230F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24FE69E3" w14:textId="77777777" w:rsidR="003A230F" w:rsidRPr="00626572" w:rsidRDefault="003A230F" w:rsidP="003A23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A230F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D5DA0" wp14:editId="339D9758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19DCC" w14:textId="77777777" w:rsidR="003A230F" w:rsidRPr="00626572" w:rsidRDefault="00D57623" w:rsidP="003A23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treated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D5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" fillcolor="white [3201]" stroked="f" strokeweight=".5pt">
                <v:textbox>
                  <w:txbxContent>
                    <w:p w14:paraId="61119DCC" w14:textId="77777777" w:rsidR="003A230F" w:rsidRPr="00626572" w:rsidRDefault="003A230F" w:rsidP="003A23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230F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3EB1A" wp14:editId="12A769B7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303B3" w14:textId="77777777" w:rsidR="003A230F" w:rsidRPr="00626572" w:rsidRDefault="00D57623" w:rsidP="003A23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positive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urine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EB1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" fillcolor="white [3201]" stroked="f" strokeweight=".5pt">
                <v:textbox>
                  <w:txbxContent>
                    <w:p w14:paraId="464303B3" w14:textId="77777777" w:rsidR="003A230F" w:rsidRPr="00626572" w:rsidRDefault="00000000" w:rsidP="003A23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1BC6624" w14:textId="26C48D8C" w:rsidR="003A230F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3A763D8" w14:textId="77777777" w:rsidR="003A230F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27AE3D8C" w14:textId="5C6BF091" w:rsidR="003A230F" w:rsidRPr="005E6941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27BE2CC" w14:textId="77777777" w:rsidR="003A230F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45B89C21" w14:textId="77777777" w:rsidR="003A230F" w:rsidRPr="00AA79B4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564A66AB" w14:textId="02F5F826" w:rsidR="003A230F" w:rsidRPr="009B65C2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2B39D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25 </w:t>
      </w:r>
    </w:p>
    <w:p w14:paraId="7F518F4D" w14:textId="055291A1" w:rsidR="003A230F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2B39D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4.5 (2.5 – 5.75)</w:t>
      </w:r>
    </w:p>
    <w:p w14:paraId="76F36D5D" w14:textId="77777777" w:rsidR="003A230F" w:rsidRPr="00AA79B4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3B7744E" w14:textId="71729F93" w:rsidR="003A230F" w:rsidRPr="00AA79B4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5FF5C759" w14:textId="59B9E2E0" w:rsidR="003A230F" w:rsidRPr="009B65C2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Prevalence of ASB across hospitals</w:t>
      </w:r>
      <w:r w:rsidR="00087E5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164 of 390 (42.1%)</w:t>
      </w:r>
    </w:p>
    <w:p w14:paraId="72ED9AA3" w14:textId="4906F5C1" w:rsidR="003A230F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2B39D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 of 25 (32%)</w:t>
      </w:r>
    </w:p>
    <w:p w14:paraId="20526257" w14:textId="1BACF1FA" w:rsidR="003A230F" w:rsidRPr="00AA79B4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13937881" w14:textId="12431BD3" w:rsidR="003A230F" w:rsidRPr="00AA79B4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1B8298A0" w14:textId="59DA124D" w:rsidR="003A230F" w:rsidRPr="009B65C2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087E5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106 of 164 (64.6%)</w:t>
      </w:r>
    </w:p>
    <w:p w14:paraId="7C25E898" w14:textId="56C933BE" w:rsidR="003A230F" w:rsidRPr="009B65C2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2B39D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7 of 8 (87.5%)</w:t>
      </w:r>
    </w:p>
    <w:p w14:paraId="54FF106A" w14:textId="77777777" w:rsidR="003A230F" w:rsidRDefault="003A230F" w:rsidP="003A230F">
      <w:pPr>
        <w:rPr>
          <w:b/>
          <w:bCs/>
          <w:sz w:val="28"/>
          <w:szCs w:val="28"/>
          <w:u w:val="single"/>
        </w:rPr>
      </w:pPr>
    </w:p>
    <w:p w14:paraId="58258FB8" w14:textId="77777777" w:rsidR="003A230F" w:rsidRPr="000D7308" w:rsidRDefault="003A230F" w:rsidP="003A230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3A230F" w:rsidRPr="00DA7E40" w14:paraId="19B510D6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5E2F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3A230F" w:rsidRPr="00DA7E40" w14:paraId="42A80230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9A76" w14:textId="77777777" w:rsidR="003A230F" w:rsidRPr="00BF1824" w:rsidRDefault="003A230F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8DF6" w14:textId="77777777" w:rsidR="003A230F" w:rsidRPr="00BF1824" w:rsidRDefault="003A230F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3A230F" w:rsidRPr="00DA7E40" w14:paraId="06C1D2F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D3F6" w14:textId="4C2FAE34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6D1E" w14:textId="4D1DE7D6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EF30" w14:textId="585EEFAF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F5BA" w14:textId="0F53DFBA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3A230F" w:rsidRPr="00DA7E40" w14:paraId="099F34E6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F579" w14:textId="4225947B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FA54" w14:textId="4AC95EDB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(n=3)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140D" w14:textId="38A496FE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FEA7" w14:textId="4F5D4848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(n=2)</w:t>
            </w:r>
          </w:p>
        </w:tc>
      </w:tr>
      <w:tr w:rsidR="003A230F" w:rsidRPr="00DA7E40" w14:paraId="27A918C3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0225" w14:textId="282058C5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0DD2" w14:textId="3C91AC65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Pip-tazo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1CF7" w14:textId="0DC70E48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E3E1" w14:textId="17BE110D" w:rsidR="003A230F" w:rsidRPr="00BF1824" w:rsidRDefault="00CA674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A674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Fosfomycin (n=1)</w:t>
            </w:r>
          </w:p>
        </w:tc>
      </w:tr>
      <w:tr w:rsidR="003A230F" w:rsidRPr="00DA7E40" w14:paraId="360609E3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CB81" w14:textId="4DE3E35C" w:rsidR="003A230F" w:rsidRPr="00BF1824" w:rsidRDefault="0053688E" w:rsidP="005368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E576" w14:textId="7F138288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Vancomycin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B249" w14:textId="419BE27A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Tri-sulfa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933A" w14:textId="19786C7A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</w:t>
            </w:r>
            <w:r w:rsidR="00E33F66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3A230F" w:rsidRPr="00BF1824" w14:paraId="7230C2F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1FEF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DED5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3E08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3A230F" w:rsidRPr="00BF1824" w14:paraId="2A420AA5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A7D9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095E" w14:textId="521A1338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5DAD" w14:textId="4D602E06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795C" w14:textId="7DD27E7B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8B26" w14:textId="0F4B40E1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3A230F" w:rsidRPr="00BF1824" w14:paraId="78A5225B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2D9D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B96C" w14:textId="1874B452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(5.5-7)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58D3" w14:textId="035B3EB1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(7-7)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6267" w14:textId="4C5ECCDC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(3-7.5)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FBC3" w14:textId="1F7EF025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(5-5)</w:t>
            </w:r>
          </w:p>
        </w:tc>
      </w:tr>
      <w:tr w:rsidR="003A230F" w:rsidRPr="00BF1824" w14:paraId="0C2461E2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F7F0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AE31" w14:textId="141D91B4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F0384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(14.3%)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7F51" w14:textId="5E80C758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2763" w14:textId="4720676F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F0384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(28.6%)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B616" w14:textId="63CF7AAE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6ACBC030" w14:textId="77777777" w:rsidR="003A230F" w:rsidRDefault="003A230F" w:rsidP="003A230F">
      <w:pPr>
        <w:rPr>
          <w:rFonts w:ascii="Times New Roman" w:hAnsi="Times New Roman" w:cs="Times New Roman"/>
          <w:sz w:val="22"/>
          <w:szCs w:val="22"/>
        </w:rPr>
      </w:pPr>
    </w:p>
    <w:p w14:paraId="2598EE45" w14:textId="77777777" w:rsidR="003A230F" w:rsidRDefault="003A230F" w:rsidP="003A230F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3A230F" w:rsidRPr="00DA7E40" w14:paraId="17A4B5F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9811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BD8F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FAAE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3A230F" w:rsidRPr="00DA7E40" w14:paraId="47166DD3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570B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1A50" w14:textId="2E4EB87C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3653" w14:textId="1D08265F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B7AA" w14:textId="5CB4BC43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C05D" w14:textId="1CA7478F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3688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3A230F" w:rsidRPr="00DA7E40" w14:paraId="48764610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20C7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3A230F" w:rsidRPr="00DA7E40" w14:paraId="11554B0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B07F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EC6D" w14:textId="66786DF8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E7D6" w14:textId="351FBE47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FF92" w14:textId="2FA5A340" w:rsidR="003A230F" w:rsidRPr="00BF1824" w:rsidRDefault="003B5EB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(57.1%)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3D0F" w14:textId="543A48DF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A230F" w:rsidRPr="00DA7E40" w14:paraId="4BF0739E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336D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A02F" w14:textId="2ED02391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3B5EB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(21.4%)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FEC4" w14:textId="7A110F9E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A148" w14:textId="7B912086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3F90" w14:textId="0999A5C0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A230F" w:rsidRPr="00DA7E40" w14:paraId="072D2F04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5B6C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3512" w14:textId="4EEC7BC0" w:rsidR="003A230F" w:rsidRPr="00BF1824" w:rsidRDefault="0053688E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  <w:r w:rsidR="003B5EB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(71.4%)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D087" w14:textId="1D4A9050" w:rsidR="003A230F" w:rsidRPr="00BF1824" w:rsidRDefault="0053688E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3B5EB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8E7B" w14:textId="4558CAC9" w:rsidR="003A230F" w:rsidRPr="00BF1824" w:rsidRDefault="0053688E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3B5EB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(14.3%)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CA71" w14:textId="3CE50525" w:rsidR="003A230F" w:rsidRPr="00BF1824" w:rsidRDefault="0053688E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3B5EB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</w:tr>
      <w:tr w:rsidR="003A230F" w:rsidRPr="00DA7E40" w14:paraId="6A4541E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5762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4DDF" w14:textId="5B0A6E7F" w:rsidR="003A230F" w:rsidRPr="00BF1824" w:rsidRDefault="0053688E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6D36" w14:textId="3A3DF606" w:rsidR="003A230F" w:rsidRPr="00BF1824" w:rsidRDefault="0053688E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5435" w14:textId="76140FA1" w:rsidR="003A230F" w:rsidRPr="00BF1824" w:rsidRDefault="0053688E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59CF" w14:textId="7AA89051" w:rsidR="003A230F" w:rsidRPr="00BF1824" w:rsidRDefault="0053688E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A230F" w:rsidRPr="00DA7E40" w14:paraId="3A0E19D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FD60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E5080" w14:textId="2271F155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3B5EB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054F" w14:textId="5CE892D7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741F" w14:textId="3925E1C2" w:rsidR="003A230F" w:rsidRPr="00BF1824" w:rsidRDefault="003B5EB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(28.6%)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D3F4" w14:textId="4201A77D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A230F" w:rsidRPr="00DA7E40" w14:paraId="3761BE8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5EDF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6933" w14:textId="0F4CB17B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C1B7" w14:textId="70CD8155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4A72" w14:textId="2A27DDA0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(71.4%)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BD66" w14:textId="209A002F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</w:tr>
      <w:tr w:rsidR="003A230F" w:rsidRPr="00DA7E40" w14:paraId="5F95661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38E2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1422" w14:textId="148BFA83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(28.6%)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5AFB" w14:textId="02992F2F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27F8" w14:textId="62E54235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(14.3%)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5EA9" w14:textId="4F05C1FF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A230F" w:rsidRPr="00DA7E40" w14:paraId="61FDC330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55E2" w14:textId="77777777" w:rsidR="003A230F" w:rsidRPr="00BF1824" w:rsidRDefault="003A230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6F6D" w14:textId="34E4F515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(21.4%)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AEE0" w14:textId="11E26D28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7335" w14:textId="7FA5503B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(71.4%)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9C10" w14:textId="2AF032F2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A230F" w:rsidRPr="00DA7E40" w14:paraId="6F14682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FD2D" w14:textId="77777777" w:rsidR="003A230F" w:rsidRPr="00BF1824" w:rsidRDefault="003A230F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810A" w14:textId="4E9AEC63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205E" w14:textId="286B6FED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97C8" w14:textId="18D1C9BF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(28.6%)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A121" w14:textId="5EDA3D06" w:rsidR="003A230F" w:rsidRPr="00BF1824" w:rsidRDefault="0053688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7CEC48A0" w14:textId="77777777" w:rsidR="003A230F" w:rsidRPr="001A79BA" w:rsidRDefault="003A230F" w:rsidP="003A230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0FAB25A1" w14:textId="77777777" w:rsidR="003A230F" w:rsidRDefault="003A230F" w:rsidP="003A230F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33CF3C93" w14:textId="77777777" w:rsidR="003A230F" w:rsidRPr="00D7271F" w:rsidRDefault="003A230F" w:rsidP="003A230F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3A230F" w14:paraId="2D4CC406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305397E3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11F6BA0E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14C75B7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3A230F" w14:paraId="29E0D28D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7508EC26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2586311" w14:textId="0EC6825C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474F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3DD675B" w14:textId="7083BB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2474F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FD2E25B" w14:textId="25A830DE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2474F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8427DCB" w14:textId="555B657F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2474F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3A230F" w14:paraId="3AF49FC0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30FA442A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C15CA0A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230F" w14:paraId="33EAEDEA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55A1527A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8E60856" w14:textId="4A001F46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DA81F1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8B7C4F5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D0BACA4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A230F" w14:paraId="7CDECCF5" w14:textId="77777777" w:rsidTr="00F348F7">
        <w:trPr>
          <w:trHeight w:val="346"/>
        </w:trPr>
        <w:tc>
          <w:tcPr>
            <w:tcW w:w="3775" w:type="dxa"/>
            <w:vMerge/>
          </w:tcPr>
          <w:p w14:paraId="56B5F7C8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DEFA254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D332EDC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F996631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AF24F73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A230F" w14:paraId="655E88A2" w14:textId="77777777" w:rsidTr="00F348F7">
        <w:trPr>
          <w:trHeight w:val="346"/>
        </w:trPr>
        <w:tc>
          <w:tcPr>
            <w:tcW w:w="3775" w:type="dxa"/>
            <w:vMerge/>
          </w:tcPr>
          <w:p w14:paraId="0A69DF93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AB2B497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4C6C272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81E7517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37EDFD9" w14:textId="77777777" w:rsidR="003A230F" w:rsidRPr="00055E42" w:rsidRDefault="003A230F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A230F" w14:paraId="3F60D74A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76AC91FB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5692FEF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230F" w14:paraId="04A450D4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01300834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2AB76FF5" w14:textId="0C89A115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(42.9%)</w:t>
            </w:r>
          </w:p>
        </w:tc>
        <w:tc>
          <w:tcPr>
            <w:tcW w:w="1890" w:type="dxa"/>
          </w:tcPr>
          <w:p w14:paraId="5A4EE544" w14:textId="2756A7CE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FBE5030" w14:textId="6D362822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(85.7%)</w:t>
            </w:r>
          </w:p>
        </w:tc>
        <w:tc>
          <w:tcPr>
            <w:tcW w:w="1890" w:type="dxa"/>
          </w:tcPr>
          <w:p w14:paraId="63170193" w14:textId="03E3F88C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3A230F" w14:paraId="0CBFA29C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EBD8220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3735C670" w14:textId="1DD8FA33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(57.1%)</w:t>
            </w:r>
          </w:p>
        </w:tc>
        <w:tc>
          <w:tcPr>
            <w:tcW w:w="1890" w:type="dxa"/>
          </w:tcPr>
          <w:p w14:paraId="250A9519" w14:textId="78C7E2D9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  <w:tc>
          <w:tcPr>
            <w:tcW w:w="1620" w:type="dxa"/>
          </w:tcPr>
          <w:p w14:paraId="2206B4D4" w14:textId="451C83E0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(14.3%)</w:t>
            </w:r>
          </w:p>
        </w:tc>
        <w:tc>
          <w:tcPr>
            <w:tcW w:w="1890" w:type="dxa"/>
          </w:tcPr>
          <w:p w14:paraId="7653ED33" w14:textId="54094D36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</w:tr>
      <w:tr w:rsidR="003A230F" w14:paraId="07EA0A94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ECDEF7F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2D69B726" w14:textId="28034906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4BA408BE" w14:textId="42703ECF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6EF035FD" w14:textId="71FC09EE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0542A5E" w14:textId="5BC2C3DC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3A230F" w14:paraId="3D8812E3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38A48C9C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BB30308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230F" w14:paraId="6427D325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8496529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22BA8F71" w14:textId="6FE7F758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(85.7%)</w:t>
            </w:r>
          </w:p>
        </w:tc>
        <w:tc>
          <w:tcPr>
            <w:tcW w:w="1890" w:type="dxa"/>
          </w:tcPr>
          <w:p w14:paraId="6A1DA8B5" w14:textId="2E35C4AF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(66.7%)</w:t>
            </w:r>
          </w:p>
        </w:tc>
        <w:tc>
          <w:tcPr>
            <w:tcW w:w="1620" w:type="dxa"/>
          </w:tcPr>
          <w:p w14:paraId="0EDE0C9C" w14:textId="54100048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(100%)</w:t>
            </w:r>
          </w:p>
        </w:tc>
        <w:tc>
          <w:tcPr>
            <w:tcW w:w="1890" w:type="dxa"/>
          </w:tcPr>
          <w:p w14:paraId="779682E0" w14:textId="25CC2C26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</w:tr>
      <w:tr w:rsidR="003A230F" w14:paraId="0C31F94D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66DC1160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23936F09" w14:textId="78B9C067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(14.3%)</w:t>
            </w:r>
          </w:p>
        </w:tc>
        <w:tc>
          <w:tcPr>
            <w:tcW w:w="1890" w:type="dxa"/>
          </w:tcPr>
          <w:p w14:paraId="6A1779F8" w14:textId="7756AB59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(33.3%)</w:t>
            </w:r>
          </w:p>
        </w:tc>
        <w:tc>
          <w:tcPr>
            <w:tcW w:w="1620" w:type="dxa"/>
          </w:tcPr>
          <w:p w14:paraId="21AF06CC" w14:textId="04E7A067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52A48292" w14:textId="24C67690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3A230F" w14:paraId="56580B55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7435C5C7" w14:textId="77777777" w:rsidR="003A230F" w:rsidRPr="00055E42" w:rsidRDefault="003A230F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4DF15615" w14:textId="09172AD4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3E8047F5" w14:textId="52F87562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5A556429" w14:textId="45014584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8F050CA" w14:textId="6CBF3419" w:rsidR="003A230F" w:rsidRPr="00055E42" w:rsidRDefault="00C5734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0AB78D54" w14:textId="77777777" w:rsidR="003A230F" w:rsidRDefault="003A230F" w:rsidP="003A230F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3EB59400" w14:textId="77777777" w:rsidR="003A230F" w:rsidRPr="000D7308" w:rsidRDefault="003A230F" w:rsidP="003A2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673E7A05" w14:textId="25BFA92A" w:rsidR="00945F46" w:rsidRPr="00945F46" w:rsidRDefault="00945F46" w:rsidP="00E2642C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945F46">
        <w:rPr>
          <w:rFonts w:eastAsia="Arial"/>
          <w:color w:val="000000" w:themeColor="text1"/>
          <w:sz w:val="20"/>
          <w:szCs w:val="20"/>
        </w:rPr>
        <w:t>"10534751651" "233460006US" "10547656457" "10558559910" "10559333828"</w:t>
      </w:r>
      <w:r>
        <w:rPr>
          <w:rFonts w:eastAsia="Arial"/>
          <w:color w:val="000000" w:themeColor="text1"/>
          <w:sz w:val="20"/>
          <w:szCs w:val="20"/>
        </w:rPr>
        <w:t xml:space="preserve"> </w:t>
      </w:r>
      <w:r w:rsidRPr="00945F46">
        <w:rPr>
          <w:rFonts w:eastAsia="Arial"/>
          <w:color w:val="000000" w:themeColor="text1"/>
          <w:sz w:val="20"/>
          <w:szCs w:val="20"/>
        </w:rPr>
        <w:t>"10559782545" "10573694462"</w:t>
      </w:r>
    </w:p>
    <w:p w14:paraId="0DFFD17D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A145897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9976AD3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0EA15EA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F57961C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E26A3C9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B663A45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BD66A9E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15676F4" w14:textId="77777777" w:rsidR="003A230F" w:rsidRDefault="003A230F" w:rsidP="003A230F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D1E3F7C" w14:textId="77777777" w:rsidR="003A230F" w:rsidRPr="000D7308" w:rsidRDefault="003A230F" w:rsidP="003A23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0C7677E1" w14:textId="77777777" w:rsidR="003A230F" w:rsidRDefault="003A230F" w:rsidP="003A230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37E1A192" w14:textId="77777777" w:rsidR="003A230F" w:rsidRDefault="003A230F" w:rsidP="003A230F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60025AB" w14:textId="77777777" w:rsidR="003A230F" w:rsidRDefault="003A230F" w:rsidP="003A230F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EB203D6" w14:textId="77777777" w:rsidR="003A230F" w:rsidRDefault="003A230F" w:rsidP="003A230F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E4A0619" w14:textId="77777777" w:rsidR="003A230F" w:rsidRDefault="003A230F" w:rsidP="003A230F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8D8F9B8" w14:textId="77777777" w:rsidR="003A230F" w:rsidRDefault="003A230F" w:rsidP="003A230F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6F105CD" w14:textId="77777777" w:rsidR="003A230F" w:rsidRDefault="003A230F" w:rsidP="003A230F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77849FC" w14:textId="77777777" w:rsidR="003A230F" w:rsidRDefault="003A230F" w:rsidP="003A230F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CBB3172" w14:textId="77777777" w:rsidR="003A230F" w:rsidRDefault="003A230F" w:rsidP="003A230F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464C7A4" w14:textId="77777777" w:rsidR="003A230F" w:rsidRDefault="003A230F" w:rsidP="003A230F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594BC7A0" w14:textId="77777777" w:rsidR="003A230F" w:rsidRPr="00D7271F" w:rsidRDefault="003A230F" w:rsidP="003A230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B36384A" w14:textId="77777777" w:rsidR="003A230F" w:rsidRDefault="003A230F" w:rsidP="003A230F">
      <w:pPr>
        <w:rPr>
          <w:rFonts w:ascii="Times New Roman" w:hAnsi="Times New Roman" w:cs="Times New Roman"/>
          <w:sz w:val="22"/>
          <w:szCs w:val="22"/>
        </w:rPr>
      </w:pPr>
    </w:p>
    <w:p w14:paraId="7A1A4FB0" w14:textId="77777777" w:rsidR="003A230F" w:rsidRPr="00EC4EEF" w:rsidRDefault="003A230F" w:rsidP="003A230F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5E7006DA" w14:textId="6A8B3BBE" w:rsidR="003A230F" w:rsidRDefault="003A230F" w:rsidP="003A230F">
      <w:r>
        <w:t xml:space="preserve">Based on the Inappropriate Diagnosis of UTI Measure, your hospital is a performing </w:t>
      </w:r>
      <w:r w:rsidR="00FE0494">
        <w:rPr>
          <w:b/>
          <w:bCs/>
        </w:rPr>
        <w:t>above average</w:t>
      </w:r>
      <w:r>
        <w:t xml:space="preserve"> in terms of percentage of UTI cases that were actually ASB. </w:t>
      </w:r>
      <w:r w:rsidR="00185B58">
        <w:t xml:space="preserve">Congratulations! </w:t>
      </w:r>
      <w:r>
        <w:t xml:space="preserve">Please continue to try and work on improving this. Additional comments: </w:t>
      </w:r>
    </w:p>
    <w:p w14:paraId="20CB385E" w14:textId="527D81E6" w:rsidR="004C776D" w:rsidRPr="004C776D" w:rsidRDefault="004C776D" w:rsidP="003A230F">
      <w:pPr>
        <w:pStyle w:val="ListParagraph"/>
        <w:numPr>
          <w:ilvl w:val="0"/>
          <w:numId w:val="6"/>
        </w:numPr>
        <w:spacing w:after="160" w:line="259" w:lineRule="auto"/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 Prevalence of ASB: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prevalence of ASB at your site is 32%, which is among the lowest in this year’s cohort. This is </w:t>
      </w:r>
      <w:r w:rsidR="00D5762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fantastic and suggests that your clinicians are being mindful of ordering urine studies appropriately. Celebrate this success and continue working on this!</w:t>
      </w:r>
    </w:p>
    <w:p w14:paraId="0AC3B30A" w14:textId="71F00A62" w:rsidR="003A230F" w:rsidRPr="00B93D60" w:rsidRDefault="00185B58" w:rsidP="003A230F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Treatment of ASB: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Among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the patients that have ASB, your clinicians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still have a tendency to treat (87.5%)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Would recommend focusing on this. If convincing clinicians to stop prescribing antibiotics for ASB is a challenge at your hospital, it might be easier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suggest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short durations (eg. 3 days) or less harmful/more narrow therapy (eg. Nitrofurantoin) for patients without symptoms. This might be a compromise or intermediate step to </w:t>
      </w:r>
      <w:r w:rsidR="00BA6F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help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clinicians </w:t>
      </w:r>
      <w:r w:rsidR="00BA6F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feel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comfortable with less antibiotics for these patients.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4AD6B22E" w14:textId="4A2892AD" w:rsidR="00B93D60" w:rsidRPr="00A008AB" w:rsidRDefault="00B93D60" w:rsidP="003A230F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Ciprofloxacin use: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Ciprofloxacin appears to be </w:t>
      </w:r>
      <w:r w:rsidR="00877C4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among the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most frequently prescribed oral agents for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UTI. We w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ould recommend assessing if this is appropriate based on allergy history or susceptibility profile of organisms. If not,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 area of intervention could be to educate clinicians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on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harms associate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with fluoroquinolone use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and encourage utilization of first-line antibiotics for UTI (like nitrofurantoin, Fosfomycin, or trim-sulfa)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237D691" w14:textId="3F879496" w:rsidR="00A008AB" w:rsidRDefault="00A008AB" w:rsidP="003A230F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treatment duration: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Your median treatment duration for UTI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during the study period was 7 days. This is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 area on which you could focus to help reduce overall antibiotic use.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10B831F2" w14:textId="77777777" w:rsidR="003A230F" w:rsidRDefault="003A230F" w:rsidP="003A230F"/>
    <w:p w14:paraId="0560C3F2" w14:textId="77777777" w:rsidR="003A230F" w:rsidRPr="007D3BBA" w:rsidRDefault="003A230F" w:rsidP="003A230F"/>
    <w:p w14:paraId="6E2CA655" w14:textId="77777777" w:rsidR="00ED7E2F" w:rsidRDefault="00ED7E2F"/>
    <w:sectPr w:rsidR="00ED7E2F" w:rsidSect="002C63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5"/>
  </w:num>
  <w:num w:numId="2" w16cid:durableId="1479179186">
    <w:abstractNumId w:val="3"/>
  </w:num>
  <w:num w:numId="3" w16cid:durableId="642777174">
    <w:abstractNumId w:val="4"/>
  </w:num>
  <w:num w:numId="4" w16cid:durableId="87503233">
    <w:abstractNumId w:val="2"/>
  </w:num>
  <w:num w:numId="5" w16cid:durableId="1625503733">
    <w:abstractNumId w:val="1"/>
  </w:num>
  <w:num w:numId="6" w16cid:durableId="20550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0F"/>
    <w:rsid w:val="00087E5F"/>
    <w:rsid w:val="00185B58"/>
    <w:rsid w:val="002474FC"/>
    <w:rsid w:val="002B39D5"/>
    <w:rsid w:val="002C634F"/>
    <w:rsid w:val="003A230F"/>
    <w:rsid w:val="003B5EB3"/>
    <w:rsid w:val="004C776D"/>
    <w:rsid w:val="0053688E"/>
    <w:rsid w:val="00877C4C"/>
    <w:rsid w:val="00945F46"/>
    <w:rsid w:val="0098715D"/>
    <w:rsid w:val="009F718B"/>
    <w:rsid w:val="00A008AB"/>
    <w:rsid w:val="00A71457"/>
    <w:rsid w:val="00B93D60"/>
    <w:rsid w:val="00BA4D0C"/>
    <w:rsid w:val="00BA6F5B"/>
    <w:rsid w:val="00BB3431"/>
    <w:rsid w:val="00C57344"/>
    <w:rsid w:val="00CA6746"/>
    <w:rsid w:val="00CC0D9B"/>
    <w:rsid w:val="00D0052E"/>
    <w:rsid w:val="00D57623"/>
    <w:rsid w:val="00DC7763"/>
    <w:rsid w:val="00E2642C"/>
    <w:rsid w:val="00E274D6"/>
    <w:rsid w:val="00E33F66"/>
    <w:rsid w:val="00ED7E2F"/>
    <w:rsid w:val="00ED7F86"/>
    <w:rsid w:val="00F03848"/>
    <w:rsid w:val="00F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2B40"/>
  <w15:chartTrackingRefBased/>
  <w15:docId w15:val="{6B038E4D-8AFE-4042-BDFB-7083758A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30F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3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3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3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3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3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3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3A230F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3A230F"/>
    <w:rPr>
      <w:kern w:val="0"/>
      <w14:ligatures w14:val="none"/>
    </w:rPr>
  </w:style>
  <w:style w:type="table" w:customStyle="1" w:styleId="Table">
    <w:name w:val="Table"/>
    <w:semiHidden/>
    <w:unhideWhenUsed/>
    <w:qFormat/>
    <w:rsid w:val="003A230F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3A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23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A230F"/>
  </w:style>
  <w:style w:type="character" w:customStyle="1" w:styleId="eop">
    <w:name w:val="eop"/>
    <w:basedOn w:val="DefaultParagraphFont"/>
    <w:rsid w:val="003A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Castillo, Alyssa Y</cp:lastModifiedBy>
  <cp:revision>30</cp:revision>
  <dcterms:created xsi:type="dcterms:W3CDTF">2024-04-23T21:30:00Z</dcterms:created>
  <dcterms:modified xsi:type="dcterms:W3CDTF">2024-05-02T22:30:00Z</dcterms:modified>
</cp:coreProperties>
</file>