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9360"/>
      </w:tblGrid>
      <w:tr w:rsidR="00EA22DD" w:rsidRPr="00EA22DD" w14:paraId="54636AFA" w14:textId="77777777" w:rsidTr="00216332">
        <w:trPr>
          <w:jc w:val="center"/>
        </w:trPr>
        <w:tc>
          <w:tcPr>
            <w:tcW w:w="9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E58D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84" w:right="-1716"/>
              <w:jc w:val="center"/>
              <w:rPr>
                <w:rFonts w:ascii="Cambria" w:eastAsia="Cambria" w:hAnsi="Cambria" w:cs="Times New Roman"/>
              </w:rPr>
            </w:pPr>
            <w:r w:rsidRPr="00EA22DD">
              <w:rPr>
                <w:rFonts w:ascii="Arial" w:eastAsia="Arial" w:hAnsi="Arial" w:cs="Arial"/>
                <w:color w:val="000000"/>
              </w:rPr>
              <w:t>Whidbey Health FINAL Asymptomatic Bacteriuria Report (8/22/23)</w:t>
            </w:r>
          </w:p>
        </w:tc>
      </w:tr>
    </w:tbl>
    <w:p w14:paraId="050BD31D" w14:textId="77777777" w:rsidR="00EA22DD" w:rsidRPr="00EA22DD" w:rsidRDefault="00EA22DD" w:rsidP="00EA22DD">
      <w:pPr>
        <w:keepNext/>
        <w:keepLines/>
        <w:spacing w:before="60"/>
        <w:jc w:val="center"/>
        <w:rPr>
          <w:rFonts w:ascii="Cambria" w:eastAsia="Cambria" w:hAnsi="Cambria" w:cs="Times New Roman"/>
        </w:rPr>
      </w:pPr>
      <w:r w:rsidRPr="00EA22DD">
        <w:rPr>
          <w:rFonts w:ascii="Cambria" w:eastAsia="Cambria" w:hAnsi="Cambria" w:cs="Times New Roman"/>
          <w:noProof/>
        </w:rPr>
        <w:drawing>
          <wp:inline distT="0" distB="0" distL="0" distR="0" wp14:anchorId="61956934" wp14:editId="3BF1E5AE">
            <wp:extent cx="3520440" cy="2816352"/>
            <wp:effectExtent l="0" t="0" r="3810" b="3175"/>
            <wp:docPr id="25" name="Picture 25" descr="A graph of different types of bacteri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graph of different types of bacteria&#10;&#10;Description automatically generated with medium confidence"/>
                    <pic:cNvPicPr>
                      <a:picLocks noChangeAspect="1" noChangeArrowheads="1"/>
                    </pic:cNvPicPr>
                  </pic:nvPicPr>
                  <pic:blipFill>
                    <a:blip r:embed="rId4" cstate="print"/>
                    <a:stretch>
                      <a:fillRect/>
                    </a:stretch>
                  </pic:blipFill>
                  <pic:spPr bwMode="auto">
                    <a:xfrm>
                      <a:off x="0" y="0"/>
                      <a:ext cx="48935" cy="39148"/>
                    </a:xfrm>
                    <a:prstGeom prst="rect">
                      <a:avLst/>
                    </a:prstGeom>
                    <a:noFill/>
                  </pic:spPr>
                </pic:pic>
              </a:graphicData>
            </a:graphic>
          </wp:inline>
        </w:drawing>
      </w:r>
    </w:p>
    <w:p w14:paraId="31AEAE4B" w14:textId="77777777" w:rsidR="00EA22DD" w:rsidRPr="00EA22DD" w:rsidRDefault="00EA22DD" w:rsidP="00EA22DD">
      <w:pPr>
        <w:keepNext/>
        <w:keepLines/>
        <w:spacing w:before="60"/>
        <w:jc w:val="center"/>
        <w:rPr>
          <w:rFonts w:ascii="Cambria" w:eastAsia="Cambria" w:hAnsi="Cambria" w:cs="Times New Roman"/>
        </w:rPr>
      </w:pPr>
      <w:r w:rsidRPr="00EA22DD">
        <w:rPr>
          <w:rFonts w:ascii="Cambria" w:eastAsia="Cambria" w:hAnsi="Cambria" w:cs="Times New Roman"/>
          <w:b/>
          <w:bCs/>
        </w:rPr>
        <w:t>Annual Performance</w:t>
      </w:r>
      <w:r w:rsidRPr="00EA22DD">
        <w:rPr>
          <w:rFonts w:ascii="Cambria" w:eastAsia="Cambria" w:hAnsi="Cambria" w:cs="Times New Roman"/>
        </w:rPr>
        <w:t>: 60.7% (17/28)</w:t>
      </w:r>
    </w:p>
    <w:p w14:paraId="156133EA" w14:textId="77777777" w:rsidR="00EA22DD" w:rsidRPr="00EA22DD" w:rsidRDefault="00EA22DD" w:rsidP="00EA22DD">
      <w:pPr>
        <w:keepNext/>
        <w:keepLines/>
        <w:spacing w:before="60"/>
        <w:jc w:val="center"/>
        <w:rPr>
          <w:rFonts w:ascii="Cambria" w:eastAsia="Cambria" w:hAnsi="Cambria" w:cs="Times New Roman"/>
        </w:rPr>
      </w:pPr>
      <w:r w:rsidRPr="00EA22DD">
        <w:rPr>
          <w:rFonts w:ascii="Cambria" w:eastAsia="Cambria" w:hAnsi="Cambria" w:cs="Times New Roman"/>
          <w:u w:val="single"/>
        </w:rPr>
        <w:t>Average Across Hospitals</w:t>
      </w:r>
      <w:r w:rsidRPr="00EA22DD">
        <w:rPr>
          <w:rFonts w:ascii="Cambria" w:eastAsia="Cambria" w:hAnsi="Cambria" w:cs="Times New Roman"/>
        </w:rPr>
        <w:t xml:space="preserve">: 28.1%; </w:t>
      </w:r>
      <w:r w:rsidRPr="00EA22DD">
        <w:rPr>
          <w:rFonts w:ascii="Cambria" w:eastAsia="Cambria" w:hAnsi="Cambria" w:cs="Times New Roman"/>
          <w:u w:val="single"/>
        </w:rPr>
        <w:t>HMS Hospital Average</w:t>
      </w:r>
      <w:r w:rsidRPr="00EA22DD">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EA22DD" w:rsidRPr="00EA22DD" w14:paraId="2A2255E3" w14:textId="77777777" w:rsidTr="00216332">
        <w:tc>
          <w:tcPr>
            <w:tcW w:w="10790" w:type="dxa"/>
          </w:tcPr>
          <w:p w14:paraId="4D11421E" w14:textId="77777777" w:rsidR="00EA22DD" w:rsidRPr="00EA22DD" w:rsidRDefault="00EA22DD" w:rsidP="00EA22DD">
            <w:pPr>
              <w:keepNext/>
              <w:keepLines/>
              <w:spacing w:before="60" w:after="0"/>
              <w:rPr>
                <w:rFonts w:ascii="Arial" w:eastAsia="Cambria" w:hAnsi="Arial" w:cs="Arial"/>
                <w:sz w:val="22"/>
                <w:szCs w:val="22"/>
              </w:rPr>
            </w:pPr>
            <w:r w:rsidRPr="00EA22DD">
              <w:rPr>
                <w:rFonts w:ascii="Arial" w:eastAsia="Arial" w:hAnsi="Arial" w:cs="Arial"/>
                <w:color w:val="000000"/>
                <w:sz w:val="22"/>
                <w:szCs w:val="22"/>
              </w:rPr>
              <w:t>Number of total cases (project goal 59): 28        Number of cases this month (goal 6): 5</w:t>
            </w:r>
          </w:p>
        </w:tc>
      </w:tr>
      <w:tr w:rsidR="00EA22DD" w:rsidRPr="00EA22DD" w14:paraId="456D6BAD" w14:textId="77777777" w:rsidTr="00216332">
        <w:tc>
          <w:tcPr>
            <w:tcW w:w="10790" w:type="dxa"/>
          </w:tcPr>
          <w:p w14:paraId="0245A8E8" w14:textId="77777777" w:rsidR="00EA22DD" w:rsidRPr="00EA22DD" w:rsidRDefault="00EA22DD" w:rsidP="00EA22DD">
            <w:pPr>
              <w:keepNext/>
              <w:keepLines/>
              <w:spacing w:before="60" w:after="0"/>
              <w:jc w:val="center"/>
              <w:rPr>
                <w:rFonts w:ascii="Cambria" w:eastAsia="Cambria" w:hAnsi="Cambria" w:cs="Times New Roman"/>
              </w:rPr>
            </w:pPr>
            <w:r w:rsidRPr="00EA22DD">
              <w:rPr>
                <w:rFonts w:ascii="Arial" w:eastAsia="Arial" w:hAnsi="Arial" w:cs="Arial"/>
                <w:color w:val="000000"/>
                <w:sz w:val="20"/>
                <w:szCs w:val="20"/>
              </w:rPr>
              <w:t>Case IDs for the last 2 months’ Treated ASB Cases: MS23SE146 MS23PB153 MS23HD154</w:t>
            </w:r>
          </w:p>
        </w:tc>
      </w:tr>
    </w:tbl>
    <w:p w14:paraId="11C8A9D0" w14:textId="77777777" w:rsidR="00EA22DD" w:rsidRPr="00EA22DD" w:rsidRDefault="00EA22DD" w:rsidP="00EA22DD">
      <w:pPr>
        <w:keepNext/>
        <w:keepLines/>
        <w:spacing w:before="60"/>
        <w:rPr>
          <w:rFonts w:ascii="Cambria" w:eastAsia="Cambria" w:hAnsi="Cambria" w:cs="Times New Roman"/>
        </w:rPr>
      </w:pPr>
      <w:r w:rsidRPr="00EA22DD">
        <w:rPr>
          <w:rFonts w:ascii="Arial" w:eastAsia="Cambria" w:hAnsi="Arial" w:cs="Arial"/>
          <w:noProof/>
          <w:sz w:val="22"/>
          <w:szCs w:val="22"/>
          <w:u w:val="single"/>
        </w:rPr>
        <w:drawing>
          <wp:anchor distT="0" distB="0" distL="114300" distR="114300" simplePos="0" relativeHeight="251659264" behindDoc="0" locked="0" layoutInCell="1" allowOverlap="1" wp14:anchorId="4A050C5E" wp14:editId="3EB848EA">
            <wp:simplePos x="0" y="0"/>
            <wp:positionH relativeFrom="column">
              <wp:posOffset>3924300</wp:posOffset>
            </wp:positionH>
            <wp:positionV relativeFrom="paragraph">
              <wp:posOffset>85090</wp:posOffset>
            </wp:positionV>
            <wp:extent cx="3048000" cy="2749550"/>
            <wp:effectExtent l="0" t="0" r="0" b="0"/>
            <wp:wrapSquare wrapText="bothSides"/>
            <wp:docPr id="2076981020" name="Picture 9"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81020" name="Picture 9" descr="A graph of different colored bar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p>
    <w:p w14:paraId="5A275280" w14:textId="77777777" w:rsidR="00EA22DD" w:rsidRPr="00EA22DD" w:rsidRDefault="00EA22DD" w:rsidP="00EA22DD">
      <w:pPr>
        <w:keepNext/>
        <w:keepLines/>
        <w:spacing w:before="60" w:after="0"/>
        <w:rPr>
          <w:rFonts w:ascii="Arial" w:eastAsia="Cambria" w:hAnsi="Arial" w:cs="Arial"/>
          <w:sz w:val="22"/>
          <w:szCs w:val="22"/>
        </w:rPr>
      </w:pPr>
      <w:r w:rsidRPr="00EA22DD">
        <w:rPr>
          <w:rFonts w:ascii="Arial" w:eastAsia="Cambria" w:hAnsi="Arial" w:cs="Arial"/>
          <w:sz w:val="22"/>
          <w:szCs w:val="22"/>
          <w:u w:val="single"/>
        </w:rPr>
        <w:t xml:space="preserve"> </w:t>
      </w:r>
      <w:r w:rsidRPr="00EA22DD">
        <w:rPr>
          <w:rFonts w:ascii="Arial" w:eastAsia="Cambria" w:hAnsi="Arial" w:cs="Arial"/>
          <w:b/>
          <w:bCs/>
          <w:sz w:val="22"/>
          <w:szCs w:val="22"/>
          <w:u w:val="single"/>
        </w:rPr>
        <w:t>Fluoroquinolone Use</w:t>
      </w:r>
      <w:r w:rsidRPr="00EA22DD">
        <w:rPr>
          <w:rFonts w:ascii="Arial" w:eastAsia="Cambria" w:hAnsi="Arial" w:cs="Arial"/>
          <w:sz w:val="22"/>
          <w:szCs w:val="22"/>
        </w:rPr>
        <w:t xml:space="preserve">: </w:t>
      </w:r>
    </w:p>
    <w:p w14:paraId="3194CC59" w14:textId="77777777" w:rsidR="00EA22DD" w:rsidRPr="00EA22DD" w:rsidRDefault="00EA22DD" w:rsidP="00EA22DD">
      <w:pPr>
        <w:keepNext/>
        <w:keepLines/>
        <w:spacing w:before="60" w:after="0"/>
        <w:rPr>
          <w:rFonts w:ascii="Arial" w:eastAsia="Cambria" w:hAnsi="Arial" w:cs="Arial"/>
          <w:sz w:val="22"/>
          <w:szCs w:val="22"/>
        </w:rPr>
      </w:pPr>
      <w:r w:rsidRPr="00EA22DD">
        <w:rPr>
          <w:rFonts w:ascii="Arial" w:eastAsia="Cambria" w:hAnsi="Arial" w:cs="Arial"/>
          <w:sz w:val="22"/>
          <w:szCs w:val="22"/>
        </w:rPr>
        <w:t>“</w:t>
      </w:r>
      <w:r w:rsidRPr="00EA22DD">
        <w:rPr>
          <w:rFonts w:ascii="Arial" w:eastAsia="Cambria" w:hAnsi="Arial" w:cs="Arial"/>
          <w:i/>
          <w:iCs/>
          <w:sz w:val="22"/>
          <w:szCs w:val="22"/>
        </w:rPr>
        <w:t>Potentially justified</w:t>
      </w:r>
      <w:r w:rsidRPr="00EA22DD">
        <w:rPr>
          <w:rFonts w:ascii="Arial" w:eastAsia="Cambria" w:hAnsi="Arial" w:cs="Arial"/>
          <w:sz w:val="22"/>
          <w:szCs w:val="22"/>
        </w:rPr>
        <w:t>” is defined as:</w:t>
      </w:r>
    </w:p>
    <w:p w14:paraId="34702FA0" w14:textId="77777777" w:rsidR="00EA22DD" w:rsidRPr="00EA22DD" w:rsidRDefault="00EA22DD" w:rsidP="00EA22DD">
      <w:pPr>
        <w:keepNext/>
        <w:keepLines/>
        <w:spacing w:after="0"/>
        <w:rPr>
          <w:rFonts w:ascii="Arial" w:eastAsia="Cambria" w:hAnsi="Arial" w:cs="Arial"/>
          <w:sz w:val="22"/>
          <w:szCs w:val="22"/>
        </w:rPr>
      </w:pPr>
      <w:r w:rsidRPr="00EA22DD">
        <w:rPr>
          <w:rFonts w:ascii="Arial" w:eastAsia="Cambria" w:hAnsi="Arial" w:cs="Arial"/>
          <w:sz w:val="22"/>
          <w:szCs w:val="22"/>
        </w:rPr>
        <w:t xml:space="preserve">Patient had a </w:t>
      </w:r>
      <w:r w:rsidRPr="00EA22DD">
        <w:rPr>
          <w:rFonts w:ascii="Arial" w:eastAsia="Cambria" w:hAnsi="Arial" w:cs="Arial"/>
          <w:sz w:val="22"/>
          <w:szCs w:val="22"/>
          <w:u w:val="single"/>
        </w:rPr>
        <w:t>fever</w:t>
      </w:r>
      <w:r w:rsidRPr="00EA22DD">
        <w:rPr>
          <w:rFonts w:ascii="Arial" w:eastAsia="Cambria" w:hAnsi="Arial" w:cs="Arial"/>
          <w:sz w:val="22"/>
          <w:szCs w:val="22"/>
        </w:rPr>
        <w:t xml:space="preserve"> OR </w:t>
      </w:r>
      <w:r w:rsidRPr="00EA22DD">
        <w:rPr>
          <w:rFonts w:ascii="Arial" w:eastAsia="Cambria" w:hAnsi="Arial" w:cs="Arial"/>
          <w:sz w:val="22"/>
          <w:szCs w:val="22"/>
          <w:u w:val="single"/>
        </w:rPr>
        <w:t>documented pyelonephritis</w:t>
      </w:r>
      <w:r w:rsidRPr="00EA22DD">
        <w:rPr>
          <w:rFonts w:ascii="Arial" w:eastAsia="Cambria" w:hAnsi="Arial" w:cs="Arial"/>
          <w:sz w:val="22"/>
          <w:szCs w:val="22"/>
        </w:rPr>
        <w:t xml:space="preserve"> OR </w:t>
      </w:r>
      <w:r w:rsidRPr="00EA22DD">
        <w:rPr>
          <w:rFonts w:ascii="Arial" w:eastAsia="Cambria" w:hAnsi="Arial" w:cs="Arial"/>
          <w:sz w:val="22"/>
          <w:szCs w:val="22"/>
          <w:u w:val="single"/>
        </w:rPr>
        <w:t>2 or more SIRS criteria</w:t>
      </w:r>
      <w:r w:rsidRPr="00EA22DD">
        <w:rPr>
          <w:rFonts w:ascii="Arial" w:eastAsia="Cambria" w:hAnsi="Arial" w:cs="Arial"/>
          <w:sz w:val="22"/>
          <w:szCs w:val="22"/>
        </w:rPr>
        <w:t>. (Remaining cases treated with FQs were “</w:t>
      </w:r>
      <w:r w:rsidRPr="00EA22DD">
        <w:rPr>
          <w:rFonts w:ascii="Arial" w:eastAsia="Cambria" w:hAnsi="Arial" w:cs="Arial"/>
          <w:i/>
          <w:iCs/>
          <w:sz w:val="22"/>
          <w:szCs w:val="22"/>
        </w:rPr>
        <w:t>potentially not justified</w:t>
      </w:r>
      <w:r w:rsidRPr="00EA22DD">
        <w:rPr>
          <w:rFonts w:ascii="Arial" w:eastAsia="Cambria" w:hAnsi="Arial" w:cs="Arial"/>
          <w:sz w:val="22"/>
          <w:szCs w:val="22"/>
        </w:rPr>
        <w:t>”)</w:t>
      </w:r>
    </w:p>
    <w:p w14:paraId="4EDFD6EE" w14:textId="77777777" w:rsidR="00EA22DD" w:rsidRPr="00EA22DD" w:rsidRDefault="00EA22DD" w:rsidP="00EA22DD">
      <w:pPr>
        <w:keepNext/>
        <w:keepLines/>
        <w:spacing w:before="200"/>
        <w:rPr>
          <w:rFonts w:ascii="Arial" w:eastAsia="Cambria" w:hAnsi="Arial" w:cs="Arial"/>
          <w:sz w:val="22"/>
          <w:szCs w:val="22"/>
        </w:rPr>
      </w:pPr>
      <w:r w:rsidRPr="00EA22DD">
        <w:rPr>
          <w:rFonts w:ascii="Arial" w:eastAsia="Cambria" w:hAnsi="Arial" w:cs="Arial"/>
          <w:sz w:val="22"/>
          <w:szCs w:val="22"/>
        </w:rPr>
        <w:t xml:space="preserve">For All hospitals, 112/615 (18.5%) cases received FQs; of those, 67/23 (59.8%) were potentially not justified. In other words, </w:t>
      </w:r>
      <w:r w:rsidRPr="00EA22DD">
        <w:rPr>
          <w:rFonts w:ascii="Arial" w:eastAsia="Cambria" w:hAnsi="Arial" w:cs="Arial"/>
          <w:b/>
          <w:bCs/>
          <w:sz w:val="22"/>
          <w:szCs w:val="22"/>
        </w:rPr>
        <w:t>10.9% (67/615) of patients received a potentially unjustified fluoroquinolone</w:t>
      </w:r>
      <w:r w:rsidRPr="00EA22DD">
        <w:rPr>
          <w:rFonts w:ascii="Arial" w:eastAsia="Cambria" w:hAnsi="Arial" w:cs="Arial"/>
          <w:sz w:val="22"/>
          <w:szCs w:val="22"/>
        </w:rPr>
        <w:t xml:space="preserve">.  </w:t>
      </w:r>
    </w:p>
    <w:p w14:paraId="7C453F13" w14:textId="77777777" w:rsidR="00EA22DD" w:rsidRPr="00EA22DD" w:rsidRDefault="00EA22DD" w:rsidP="00EA22DD">
      <w:pPr>
        <w:keepNext/>
        <w:keepLines/>
        <w:spacing w:after="0"/>
        <w:rPr>
          <w:rFonts w:ascii="Arial" w:eastAsia="Cambria" w:hAnsi="Arial" w:cs="Arial"/>
          <w:sz w:val="22"/>
          <w:szCs w:val="22"/>
        </w:rPr>
      </w:pPr>
      <w:r w:rsidRPr="00EA22DD">
        <w:rPr>
          <w:rFonts w:ascii="Arial" w:eastAsia="Cambria" w:hAnsi="Arial" w:cs="Arial"/>
          <w:sz w:val="22"/>
          <w:szCs w:val="22"/>
        </w:rPr>
        <w:t xml:space="preserve">For your hospital 13/28 (46.4%) cases received FQs; of those 6/13 (46.2%) were potentially not justified. In other words, </w:t>
      </w:r>
      <w:r w:rsidRPr="00EA22DD">
        <w:rPr>
          <w:rFonts w:ascii="Arial" w:eastAsia="Cambria" w:hAnsi="Arial" w:cs="Arial"/>
          <w:b/>
          <w:bCs/>
          <w:sz w:val="22"/>
          <w:szCs w:val="22"/>
        </w:rPr>
        <w:t>21.4% (6/28) of patients received a potentially unjustified fluoroquinolone</w:t>
      </w:r>
      <w:r w:rsidRPr="00EA22DD">
        <w:rPr>
          <w:rFonts w:ascii="Arial" w:eastAsia="Cambria" w:hAnsi="Arial" w:cs="Arial"/>
          <w:sz w:val="22"/>
          <w:szCs w:val="22"/>
        </w:rPr>
        <w:t>. The HMS average is 7%.</w:t>
      </w:r>
    </w:p>
    <w:tbl>
      <w:tblPr>
        <w:tblW w:w="11520" w:type="dxa"/>
        <w:jc w:val="center"/>
        <w:tblLayout w:type="fixed"/>
        <w:tblLook w:val="0420" w:firstRow="1" w:lastRow="0" w:firstColumn="0" w:lastColumn="0" w:noHBand="0" w:noVBand="1"/>
      </w:tblPr>
      <w:tblGrid>
        <w:gridCol w:w="1080"/>
        <w:gridCol w:w="1620"/>
        <w:gridCol w:w="3150"/>
        <w:gridCol w:w="2610"/>
        <w:gridCol w:w="3060"/>
      </w:tblGrid>
      <w:tr w:rsidR="00EA22DD" w:rsidRPr="00EA22DD" w14:paraId="7CC7AB1B" w14:textId="77777777" w:rsidTr="00216332">
        <w:trPr>
          <w:jc w:val="center"/>
        </w:trPr>
        <w:tc>
          <w:tcPr>
            <w:tcW w:w="11520" w:type="dxa"/>
            <w:gridSpan w:val="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1BB3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r w:rsidR="00EA22DD" w:rsidRPr="00EA22DD" w14:paraId="6BEEA7BC" w14:textId="77777777" w:rsidTr="00216332">
        <w:trPr>
          <w:tblHeader/>
          <w:jc w:val="center"/>
        </w:trPr>
        <w:tc>
          <w:tcPr>
            <w:tcW w:w="1152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FC1642" w14:textId="4EC4B0B1"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A22DD">
              <w:rPr>
                <w:rFonts w:ascii="Arial" w:eastAsia="Arial" w:hAnsi="Arial" w:cs="Arial"/>
                <w:b/>
                <w:color w:val="000000"/>
                <w:sz w:val="20"/>
                <w:szCs w:val="20"/>
              </w:rPr>
              <w:t xml:space="preserve">Table 1: </w:t>
            </w:r>
            <w:r w:rsidRPr="00EA22DD">
              <w:rPr>
                <w:rFonts w:ascii="Arial" w:eastAsia="Arial" w:hAnsi="Arial" w:cs="Arial"/>
                <w:bCs/>
                <w:color w:val="000000"/>
                <w:sz w:val="20"/>
                <w:szCs w:val="20"/>
              </w:rPr>
              <w:t>Three most Common Antibiotics for Empiric and Discharge comparing UTI &amp; ASB</w:t>
            </w:r>
            <w:r>
              <w:rPr>
                <w:rFonts w:ascii="Arial" w:eastAsia="Arial" w:hAnsi="Arial" w:cs="Arial"/>
                <w:bCs/>
                <w:color w:val="000000"/>
                <w:sz w:val="20"/>
                <w:szCs w:val="20"/>
              </w:rPr>
              <w:t xml:space="preserve"> (Entire Year)</w:t>
            </w:r>
          </w:p>
        </w:tc>
      </w:tr>
      <w:tr w:rsidR="00EA22DD" w:rsidRPr="00EA22DD" w14:paraId="19F6F816" w14:textId="77777777" w:rsidTr="00EA22DD">
        <w:trPr>
          <w:tblHeader/>
          <w:jc w:val="center"/>
        </w:trPr>
        <w:tc>
          <w:tcPr>
            <w:tcW w:w="585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DA5B54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Empiric</w:t>
            </w:r>
          </w:p>
        </w:tc>
        <w:tc>
          <w:tcPr>
            <w:tcW w:w="567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927766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Discharge</w:t>
            </w:r>
          </w:p>
        </w:tc>
      </w:tr>
      <w:tr w:rsidR="00EA22DD" w:rsidRPr="00EA22DD" w14:paraId="4D39295C" w14:textId="77777777" w:rsidTr="00216332">
        <w:trPr>
          <w:tblHeader/>
          <w:jc w:val="center"/>
        </w:trPr>
        <w:tc>
          <w:tcPr>
            <w:tcW w:w="27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98183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UTI, n=11</w:t>
            </w:r>
          </w:p>
        </w:tc>
        <w:tc>
          <w:tcPr>
            <w:tcW w:w="31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E5E6F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ASB, n=17</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DAB50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UTI, n=11</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5E92F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ASB, n=17</w:t>
            </w:r>
          </w:p>
        </w:tc>
      </w:tr>
      <w:tr w:rsidR="00EA22DD" w:rsidRPr="00EA22DD" w14:paraId="5DF14D4E" w14:textId="77777777" w:rsidTr="00216332">
        <w:trPr>
          <w:jc w:val="center"/>
        </w:trPr>
        <w:tc>
          <w:tcPr>
            <w:tcW w:w="27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F4832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Ceftriaxone, n=8 (72.7%)</w:t>
            </w:r>
          </w:p>
        </w:tc>
        <w:tc>
          <w:tcPr>
            <w:tcW w:w="31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58CCCE"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Ceftriaxone, n=11 (64.7%)</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B5DFE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Ciprofloxacin, n=2 (18.2%)</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5BEF1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Cephalexin, n=2 (11.8%)</w:t>
            </w:r>
          </w:p>
        </w:tc>
      </w:tr>
      <w:tr w:rsidR="00EA22DD" w:rsidRPr="00EA22DD" w14:paraId="5C2B5510" w14:textId="77777777" w:rsidTr="00216332">
        <w:trPr>
          <w:jc w:val="center"/>
        </w:trPr>
        <w:tc>
          <w:tcPr>
            <w:tcW w:w="27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2F896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Ciprofloxacin, n=3 (27.3%)</w:t>
            </w:r>
          </w:p>
        </w:tc>
        <w:tc>
          <w:tcPr>
            <w:tcW w:w="31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B6BC4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Cefepime, n=4 (23.5%)</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62192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Levofloxacin, n=2 (18.2%)</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6AF45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Ciprofloxacin, n=2 (11.8%)</w:t>
            </w:r>
          </w:p>
        </w:tc>
      </w:tr>
      <w:tr w:rsidR="00EA22DD" w:rsidRPr="00EA22DD" w14:paraId="72B05318" w14:textId="77777777" w:rsidTr="00216332">
        <w:trPr>
          <w:jc w:val="center"/>
        </w:trPr>
        <w:tc>
          <w:tcPr>
            <w:tcW w:w="27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6B22E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Levofloxacin, n=2 (18.2%)</w:t>
            </w:r>
          </w:p>
        </w:tc>
        <w:tc>
          <w:tcPr>
            <w:tcW w:w="31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26CB7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Ciprofloxacin, n=4 (23.5%)</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585C0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Cefdinir, n=1 (9.1%)</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CEB98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Levofloxacin, n=2 (11.8%)</w:t>
            </w:r>
          </w:p>
        </w:tc>
      </w:tr>
      <w:tr w:rsidR="00EA22DD" w:rsidRPr="00EA22DD" w14:paraId="0E3D60E1" w14:textId="77777777" w:rsidTr="00216332">
        <w:trPr>
          <w:gridAfter w:val="4"/>
          <w:wAfter w:w="10440" w:type="dxa"/>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0C4DE"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rPr>
                <w:rFonts w:ascii="Cambria" w:eastAsia="Cambria" w:hAnsi="Cambria" w:cs="Times New Roman"/>
              </w:rPr>
            </w:pPr>
          </w:p>
        </w:tc>
      </w:tr>
    </w:tbl>
    <w:p w14:paraId="63BA3E53" w14:textId="77777777" w:rsidR="00EA22DD" w:rsidRPr="00EA22DD" w:rsidRDefault="00EA22DD" w:rsidP="00EA22DD">
      <w:pPr>
        <w:rPr>
          <w:rFonts w:ascii="Cambria" w:eastAsia="Cambria" w:hAnsi="Cambria" w:cs="Times New Roman"/>
        </w:rPr>
      </w:pPr>
    </w:p>
    <w:tbl>
      <w:tblPr>
        <w:tblW w:w="11520" w:type="dxa"/>
        <w:jc w:val="center"/>
        <w:tblLayout w:type="fixed"/>
        <w:tblLook w:val="0420" w:firstRow="1" w:lastRow="0" w:firstColumn="0" w:lastColumn="0" w:noHBand="0" w:noVBand="1"/>
      </w:tblPr>
      <w:tblGrid>
        <w:gridCol w:w="4176"/>
        <w:gridCol w:w="1674"/>
        <w:gridCol w:w="1638"/>
        <w:gridCol w:w="1872"/>
        <w:gridCol w:w="2160"/>
      </w:tblGrid>
      <w:tr w:rsidR="00EA22DD" w:rsidRPr="00EA22DD" w14:paraId="465B10DD" w14:textId="77777777" w:rsidTr="00216332">
        <w:trPr>
          <w:tblHeader/>
          <w:jc w:val="center"/>
        </w:trPr>
        <w:tc>
          <w:tcPr>
            <w:tcW w:w="1152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F5E4E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EA22DD">
              <w:rPr>
                <w:rFonts w:ascii="Arial" w:eastAsia="Arial" w:hAnsi="Arial" w:cs="Arial"/>
                <w:b/>
                <w:color w:val="000000"/>
                <w:sz w:val="20"/>
                <w:szCs w:val="20"/>
              </w:rPr>
              <w:lastRenderedPageBreak/>
              <w:t xml:space="preserve">Table 2: </w:t>
            </w:r>
            <w:r w:rsidRPr="00EA22DD">
              <w:rPr>
                <w:rFonts w:ascii="Arial" w:eastAsia="Arial" w:hAnsi="Arial" w:cs="Arial"/>
                <w:bCs/>
                <w:color w:val="000000"/>
                <w:sz w:val="20"/>
                <w:szCs w:val="20"/>
              </w:rPr>
              <w:t>Antibiotic Duration: July vs prior</w:t>
            </w:r>
          </w:p>
        </w:tc>
      </w:tr>
      <w:tr w:rsidR="00EA22DD" w:rsidRPr="00EA22DD" w14:paraId="7F0F4640" w14:textId="77777777" w:rsidTr="00EA22DD">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EA2C8E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312"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601040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UTI</w:t>
            </w:r>
          </w:p>
        </w:tc>
        <w:tc>
          <w:tcPr>
            <w:tcW w:w="4032"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00370E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ASB</w:t>
            </w:r>
          </w:p>
        </w:tc>
      </w:tr>
      <w:tr w:rsidR="00EA22DD" w:rsidRPr="00EA22DD" w14:paraId="5903E093" w14:textId="77777777" w:rsidTr="00216332">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06FA8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b/>
                <w:color w:val="000000"/>
                <w:sz w:val="20"/>
                <w:szCs w:val="20"/>
              </w:rPr>
              <w:t>Antibiotic Duration (days)</w:t>
            </w:r>
          </w:p>
        </w:tc>
        <w:tc>
          <w:tcPr>
            <w:tcW w:w="167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EC557C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Prior, n=8</w:t>
            </w:r>
          </w:p>
        </w:tc>
        <w:tc>
          <w:tcPr>
            <w:tcW w:w="16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C4F4C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July, n=3</w:t>
            </w:r>
          </w:p>
        </w:tc>
        <w:tc>
          <w:tcPr>
            <w:tcW w:w="187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EFA32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Prior, n=15</w:t>
            </w:r>
          </w:p>
        </w:tc>
        <w:tc>
          <w:tcPr>
            <w:tcW w:w="21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52EABC"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July, n=2</w:t>
            </w:r>
          </w:p>
        </w:tc>
      </w:tr>
      <w:tr w:rsidR="00EA22DD" w:rsidRPr="00EA22DD" w14:paraId="6736F21C"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CB3CA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Total Antibiotic Duration; median (IQR)</w:t>
            </w:r>
          </w:p>
        </w:tc>
        <w:tc>
          <w:tcPr>
            <w:tcW w:w="167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E3611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10.0 (9.8,14.0)</w:t>
            </w:r>
          </w:p>
        </w:tc>
        <w:tc>
          <w:tcPr>
            <w:tcW w:w="16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10513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8.0 (6.5,9.5)</w:t>
            </w:r>
          </w:p>
        </w:tc>
        <w:tc>
          <w:tcPr>
            <w:tcW w:w="187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08D57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7.0 (6.0,12.0)</w:t>
            </w:r>
          </w:p>
        </w:tc>
        <w:tc>
          <w:tcPr>
            <w:tcW w:w="21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F132CE"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16.5 (13.2,19.8)</w:t>
            </w:r>
          </w:p>
        </w:tc>
      </w:tr>
      <w:tr w:rsidR="00EA22DD" w:rsidRPr="00EA22DD" w14:paraId="02EF5AF6"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F2FDE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Inpatient duration; median (IQR)</w:t>
            </w:r>
          </w:p>
        </w:tc>
        <w:tc>
          <w:tcPr>
            <w:tcW w:w="167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02752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5.0 (3.0,5.0)</w:t>
            </w:r>
          </w:p>
        </w:tc>
        <w:tc>
          <w:tcPr>
            <w:tcW w:w="16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565AC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7.0 (6.0,9.0)</w:t>
            </w:r>
          </w:p>
        </w:tc>
        <w:tc>
          <w:tcPr>
            <w:tcW w:w="187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E446F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6.0 (5.0,7.0)</w:t>
            </w:r>
          </w:p>
        </w:tc>
        <w:tc>
          <w:tcPr>
            <w:tcW w:w="21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82B1E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5.5 (5.2,5.8)</w:t>
            </w:r>
          </w:p>
        </w:tc>
      </w:tr>
      <w:tr w:rsidR="00EA22DD" w:rsidRPr="00EA22DD" w14:paraId="77CDEE8C"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814ED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 xml:space="preserve">Discharge duration; median (IQR) </w:t>
            </w:r>
          </w:p>
        </w:tc>
        <w:tc>
          <w:tcPr>
            <w:tcW w:w="167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BA157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6.0 (4.8,8.0)</w:t>
            </w:r>
          </w:p>
        </w:tc>
        <w:tc>
          <w:tcPr>
            <w:tcW w:w="16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D5C5F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0.0 (0.0,0.0)</w:t>
            </w:r>
          </w:p>
        </w:tc>
        <w:tc>
          <w:tcPr>
            <w:tcW w:w="187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18E29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0.0 (0.0,7.0)</w:t>
            </w:r>
          </w:p>
        </w:tc>
        <w:tc>
          <w:tcPr>
            <w:tcW w:w="21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B8778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11.0 (7.5,14.5)</w:t>
            </w:r>
          </w:p>
        </w:tc>
      </w:tr>
      <w:tr w:rsidR="00EA22DD" w:rsidRPr="00EA22DD" w14:paraId="14A0440C"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456AC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Number of Cases Receiving &gt;7 days; n (%)</w:t>
            </w:r>
          </w:p>
        </w:tc>
        <w:tc>
          <w:tcPr>
            <w:tcW w:w="167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1DCF6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7 (</w:t>
            </w:r>
            <w:r w:rsidRPr="00EA22DD">
              <w:rPr>
                <w:rFonts w:ascii="Arial" w:eastAsia="Arial" w:hAnsi="Arial" w:cs="Arial"/>
                <w:b/>
                <w:bCs/>
                <w:color w:val="000000"/>
                <w:sz w:val="20"/>
                <w:szCs w:val="20"/>
              </w:rPr>
              <w:t>87.5</w:t>
            </w:r>
            <w:r w:rsidRPr="00EA22DD">
              <w:rPr>
                <w:rFonts w:ascii="Arial" w:eastAsia="Arial" w:hAnsi="Arial" w:cs="Arial"/>
                <w:color w:val="000000"/>
                <w:sz w:val="20"/>
                <w:szCs w:val="20"/>
              </w:rPr>
              <w:t>)</w:t>
            </w:r>
          </w:p>
        </w:tc>
        <w:tc>
          <w:tcPr>
            <w:tcW w:w="16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EAB437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(50.0)</w:t>
            </w:r>
          </w:p>
        </w:tc>
        <w:tc>
          <w:tcPr>
            <w:tcW w:w="187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4909C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5 (33.3)</w:t>
            </w:r>
          </w:p>
        </w:tc>
        <w:tc>
          <w:tcPr>
            <w:tcW w:w="21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08B1F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(100.0)</w:t>
            </w:r>
          </w:p>
        </w:tc>
      </w:tr>
    </w:tbl>
    <w:p w14:paraId="635F48B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A22DD">
        <w:rPr>
          <w:rFonts w:ascii="Arial" w:eastAsia="Cambria" w:hAnsi="Arial" w:cs="Arial"/>
          <w:sz w:val="20"/>
          <w:szCs w:val="20"/>
        </w:rPr>
        <w:t xml:space="preserve">For all hospitals, the percent of UTIs receiving &gt;7 days was </w:t>
      </w:r>
      <w:r w:rsidRPr="00EA22DD">
        <w:rPr>
          <w:rFonts w:ascii="Arial" w:eastAsia="Cambria" w:hAnsi="Arial" w:cs="Arial"/>
          <w:b/>
          <w:bCs/>
          <w:sz w:val="20"/>
          <w:szCs w:val="20"/>
        </w:rPr>
        <w:t>55.6%</w:t>
      </w:r>
      <w:r w:rsidRPr="00EA22DD">
        <w:rPr>
          <w:rFonts w:ascii="Arial" w:eastAsia="Cambria" w:hAnsi="Arial" w:cs="Arial"/>
          <w:sz w:val="20"/>
          <w:szCs w:val="20"/>
        </w:rPr>
        <w:t xml:space="preserve"> (259/466); for ASB was </w:t>
      </w:r>
      <w:r w:rsidRPr="00EA22DD">
        <w:rPr>
          <w:rFonts w:ascii="Arial" w:eastAsia="Cambria" w:hAnsi="Arial" w:cs="Arial"/>
          <w:b/>
          <w:bCs/>
          <w:sz w:val="20"/>
          <w:szCs w:val="20"/>
        </w:rPr>
        <w:t>44.4%</w:t>
      </w:r>
      <w:r w:rsidRPr="00EA22DD">
        <w:rPr>
          <w:rFonts w:ascii="Arial" w:eastAsia="Cambria" w:hAnsi="Arial" w:cs="Arial"/>
          <w:sz w:val="20"/>
          <w:szCs w:val="20"/>
        </w:rPr>
        <w:t xml:space="preserve"> (75/169)</w:t>
      </w:r>
    </w:p>
    <w:p w14:paraId="5976665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A22DD">
        <w:rPr>
          <w:rFonts w:ascii="Arial" w:eastAsia="Cambria" w:hAnsi="Arial" w:cs="Arial"/>
          <w:sz w:val="20"/>
          <w:szCs w:val="20"/>
        </w:rPr>
        <w:t>The HMS average is 37.7% for UTI and 22.2% for ASB.</w:t>
      </w:r>
    </w:p>
    <w:p w14:paraId="2E40A56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bl>
      <w:tblPr>
        <w:tblW w:w="11520" w:type="dxa"/>
        <w:jc w:val="center"/>
        <w:tblLayout w:type="fixed"/>
        <w:tblLook w:val="0420" w:firstRow="1" w:lastRow="0" w:firstColumn="0" w:lastColumn="0" w:noHBand="0" w:noVBand="1"/>
      </w:tblPr>
      <w:tblGrid>
        <w:gridCol w:w="4680"/>
        <w:gridCol w:w="1800"/>
        <w:gridCol w:w="1980"/>
        <w:gridCol w:w="1440"/>
        <w:gridCol w:w="1620"/>
      </w:tblGrid>
      <w:tr w:rsidR="00EA22DD" w:rsidRPr="00EA22DD" w14:paraId="3DF3725C" w14:textId="77777777" w:rsidTr="00216332">
        <w:trPr>
          <w:tblHeader/>
          <w:jc w:val="center"/>
        </w:trPr>
        <w:tc>
          <w:tcPr>
            <w:tcW w:w="1152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15D75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r w:rsidRPr="00EA22DD">
              <w:rPr>
                <w:rFonts w:ascii="Arial" w:eastAsia="Arial" w:hAnsi="Arial" w:cs="Arial"/>
                <w:b/>
                <w:color w:val="000000"/>
                <w:sz w:val="20"/>
                <w:szCs w:val="20"/>
              </w:rPr>
              <w:t xml:space="preserve">Table 3: </w:t>
            </w:r>
            <w:r w:rsidRPr="00EA22DD">
              <w:rPr>
                <w:rFonts w:ascii="Arial" w:eastAsia="Arial" w:hAnsi="Arial" w:cs="Arial"/>
                <w:bCs/>
                <w:color w:val="000000"/>
                <w:sz w:val="20"/>
                <w:szCs w:val="20"/>
              </w:rPr>
              <w:t>Patient Characteristics: July vs prior n (%)</w:t>
            </w:r>
          </w:p>
        </w:tc>
      </w:tr>
      <w:tr w:rsidR="00EA22DD" w:rsidRPr="00EA22DD" w14:paraId="2560A8E1" w14:textId="77777777" w:rsidTr="00EA22DD">
        <w:trPr>
          <w:tblHeade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F77050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78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4086EB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UTI</w:t>
            </w:r>
          </w:p>
        </w:tc>
        <w:tc>
          <w:tcPr>
            <w:tcW w:w="306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28BB9B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ASB</w:t>
            </w:r>
          </w:p>
        </w:tc>
      </w:tr>
      <w:tr w:rsidR="00EA22DD" w:rsidRPr="00EA22DD" w14:paraId="7154114F" w14:textId="77777777" w:rsidTr="00216332">
        <w:trPr>
          <w:tblHeade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3B7BD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b/>
                <w:color w:val="000000"/>
                <w:sz w:val="20"/>
                <w:szCs w:val="20"/>
              </w:rPr>
              <w:t>Characteristics; n (%)</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0A67C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Prior, n=8</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3C2F7C"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July, n=3</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F67AF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Prior, n=15</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D93F0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b/>
                <w:color w:val="000000"/>
                <w:sz w:val="20"/>
                <w:szCs w:val="20"/>
              </w:rPr>
              <w:t>July, n=2</w:t>
            </w:r>
          </w:p>
        </w:tc>
      </w:tr>
      <w:tr w:rsidR="00EA22DD" w:rsidRPr="00EA22DD" w14:paraId="23A075B5"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290A1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Setting where culture obtained</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761C0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1D3CE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B69BB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80E36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A22DD" w:rsidRPr="00EA22DD" w14:paraId="5B5E9514"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D0565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 xml:space="preserve">   ED, then admitted</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8CA97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8 (100.0)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4ED32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3 (100.0)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06BE6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14 (93.3)</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C45E3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(100.0)</w:t>
            </w:r>
          </w:p>
        </w:tc>
      </w:tr>
      <w:tr w:rsidR="00EA22DD" w:rsidRPr="00EA22DD" w14:paraId="7E5098D2"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8A164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 xml:space="preserve">   ED, then discharged</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857EDC"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6061F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9B025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(6.7)</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B6AE7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r w:rsidR="00EA22DD" w:rsidRPr="00EA22DD" w14:paraId="377AE11E"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039EF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 xml:space="preserve">   Other</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F601C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AF3B5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84186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(6.7)</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A7F55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r w:rsidR="00EA22DD" w:rsidRPr="00EA22DD" w14:paraId="7D088BCE"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1B1AB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From reflex test</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DB7CCC"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8 (100.0)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4F740E"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3 (100.0)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240C1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15 (100.0)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EF868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(100.0)</w:t>
            </w:r>
          </w:p>
        </w:tc>
      </w:tr>
      <w:tr w:rsidR="00EA22DD" w:rsidRPr="00EA22DD" w14:paraId="7D7CD628"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E868D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Men</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0A64C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3 (37.5)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C834D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 (0.0)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A068E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6 (40.0)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E4903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(50.0)</w:t>
            </w:r>
          </w:p>
        </w:tc>
      </w:tr>
      <w:tr w:rsidR="00EA22DD" w:rsidRPr="00EA22DD" w14:paraId="01354E3B"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30B05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 xml:space="preserve">Age &gt;75 </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EAFF7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3 (37.5)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57084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(66.7)</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E4ED9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5 (33.3)</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7BD8B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(100.0)</w:t>
            </w:r>
          </w:p>
        </w:tc>
      </w:tr>
      <w:tr w:rsidR="00EA22DD" w:rsidRPr="00EA22DD" w14:paraId="6B40E69D"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06E2EE"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Dementia</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3CB8D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5 (62.5)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8B5F7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(33.3)</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DAA99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(6.7)</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A87FE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 (0.0)</w:t>
            </w:r>
          </w:p>
        </w:tc>
      </w:tr>
      <w:tr w:rsidR="00EA22DD" w:rsidRPr="00EA22DD" w14:paraId="3E3208A7"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DBF95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Admitted from SNF or LTAC</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FA470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6 (75.0)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83435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 (0.0)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BA2C4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3 (20.0)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408B6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 (0.0)</w:t>
            </w:r>
          </w:p>
        </w:tc>
      </w:tr>
      <w:tr w:rsidR="00EA22DD" w:rsidRPr="00EA22DD" w14:paraId="5A2FCB26"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82B4A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End stage renal disease</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59372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A657E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87B06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875E0B"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r w:rsidR="00EA22DD" w:rsidRPr="00EA22DD" w14:paraId="182A29F9"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91541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Immune suppression</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539D5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(25.0)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C717A5"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(66.7)</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E3126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4 (26.7)</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44A2E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 (0.0)</w:t>
            </w:r>
          </w:p>
        </w:tc>
      </w:tr>
      <w:tr w:rsidR="00EA22DD" w:rsidRPr="00EA22DD" w14:paraId="3022292E"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98F5D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Chronic catheter use</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1B5441"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3 (37.5)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7C08B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67632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53564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r w:rsidR="00EA22DD" w:rsidRPr="00EA22DD" w14:paraId="79EA09AD"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928A8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Chronic urinary retention</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D9151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(12.5)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0AE81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 (0.0)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76F1B4"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(13.3)</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237270"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(50.0)</w:t>
            </w:r>
          </w:p>
        </w:tc>
      </w:tr>
      <w:tr w:rsidR="00EA22DD" w:rsidRPr="00EA22DD" w14:paraId="6B773F57"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822DA2"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Had altered mental status with or without symptoms</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1D5606"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4 (50.0)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7A0A8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2 (66.7)</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F2E20A"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(6.7)</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D6834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r w:rsidR="00EA22DD" w:rsidRPr="00EA22DD" w14:paraId="4795841B"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C5D2CE"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Had altered mental status without signs of infection</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351FBF"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(12.5)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0FC65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38DD49"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1 (6.7)</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8DFFA7"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r w:rsidR="00EA22DD" w:rsidRPr="00EA22DD" w14:paraId="6776812D" w14:textId="77777777" w:rsidTr="00216332">
        <w:trPr>
          <w:jc w:val="center"/>
        </w:trPr>
        <w:tc>
          <w:tcPr>
            <w:tcW w:w="46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F9E2DD"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A22DD">
              <w:rPr>
                <w:rFonts w:ascii="Arial" w:eastAsia="Arial" w:hAnsi="Arial" w:cs="Arial"/>
                <w:color w:val="000000"/>
                <w:sz w:val="20"/>
                <w:szCs w:val="20"/>
              </w:rPr>
              <w:t>Had &gt;=2 SIRS Criteria on any day</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81171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5EDEC3"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94B4C8"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E8439C" w14:textId="77777777" w:rsidR="00EA22DD" w:rsidRPr="00EA22DD" w:rsidRDefault="00EA22DD" w:rsidP="00EA22DD">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A22DD">
              <w:rPr>
                <w:rFonts w:ascii="Arial" w:eastAsia="Arial" w:hAnsi="Arial" w:cs="Arial"/>
                <w:color w:val="000000"/>
                <w:sz w:val="20"/>
                <w:szCs w:val="20"/>
              </w:rPr>
              <w:t>0</w:t>
            </w:r>
          </w:p>
        </w:tc>
      </w:tr>
    </w:tbl>
    <w:p w14:paraId="48467C74" w14:textId="77777777" w:rsidR="00EA22DD" w:rsidRPr="00EA22DD" w:rsidRDefault="00EA22DD" w:rsidP="00EA22DD">
      <w:pPr>
        <w:spacing w:before="180" w:after="180"/>
        <w:rPr>
          <w:rFonts w:ascii="Cambria" w:eastAsia="Cambria" w:hAnsi="Cambria" w:cs="Times New Roman"/>
          <w:sz w:val="22"/>
          <w:szCs w:val="22"/>
        </w:rPr>
      </w:pPr>
      <w:r w:rsidRPr="00EA22DD">
        <w:rPr>
          <w:rFonts w:ascii="Cambria" w:eastAsia="Cambria" w:hAnsi="Cambria" w:cs="Times New Roman"/>
          <w:b/>
          <w:bCs/>
        </w:rPr>
        <w:t>Action Items/Insight</w:t>
      </w:r>
      <w:r w:rsidRPr="00EA22DD">
        <w:rPr>
          <w:rFonts w:ascii="Cambria" w:eastAsia="Cambria" w:hAnsi="Cambria" w:cs="Times New Roman"/>
        </w:rPr>
        <w:t xml:space="preserve">: </w:t>
      </w:r>
      <w:r w:rsidRPr="00EA22DD">
        <w:rPr>
          <w:rFonts w:ascii="Cambria" w:eastAsia="Cambria" w:hAnsi="Cambria" w:cs="Times New Roman"/>
          <w:sz w:val="22"/>
          <w:szCs w:val="22"/>
        </w:rPr>
        <w:t xml:space="preserve">Though there’s some month-to-month </w:t>
      </w:r>
      <w:proofErr w:type="gramStart"/>
      <w:r w:rsidRPr="00EA22DD">
        <w:rPr>
          <w:rFonts w:ascii="Cambria" w:eastAsia="Cambria" w:hAnsi="Cambria" w:cs="Times New Roman"/>
          <w:sz w:val="22"/>
          <w:szCs w:val="22"/>
        </w:rPr>
        <w:t>variation,*</w:t>
      </w:r>
      <w:proofErr w:type="gramEnd"/>
      <w:r w:rsidRPr="00EA22DD">
        <w:rPr>
          <w:rFonts w:ascii="Cambria" w:eastAsia="Cambria" w:hAnsi="Cambria" w:cs="Times New Roman"/>
          <w:sz w:val="22"/>
          <w:szCs w:val="22"/>
        </w:rPr>
        <w:t xml:space="preserve"> your site is generally performing </w:t>
      </w:r>
      <w:r w:rsidRPr="00EA22DD">
        <w:rPr>
          <w:rFonts w:ascii="Cambria" w:eastAsia="Cambria" w:hAnsi="Cambria" w:cs="Times New Roman"/>
          <w:b/>
          <w:bCs/>
          <w:sz w:val="22"/>
          <w:szCs w:val="22"/>
        </w:rPr>
        <w:t>worse than average</w:t>
      </w:r>
      <w:r w:rsidRPr="00EA22DD">
        <w:rPr>
          <w:rFonts w:ascii="Cambria" w:eastAsia="Cambria" w:hAnsi="Cambria" w:cs="Times New Roman"/>
          <w:sz w:val="22"/>
          <w:szCs w:val="22"/>
        </w:rPr>
        <w:t xml:space="preserve"> in terms of ASB treatment. We also notice that your hospital is performing </w:t>
      </w:r>
      <w:r w:rsidRPr="00EA22DD">
        <w:rPr>
          <w:rFonts w:ascii="Cambria" w:eastAsia="Cambria" w:hAnsi="Cambria" w:cs="Times New Roman"/>
          <w:b/>
          <w:bCs/>
          <w:sz w:val="22"/>
          <w:szCs w:val="22"/>
        </w:rPr>
        <w:t>worse than average</w:t>
      </w:r>
      <w:r w:rsidRPr="00EA22DD">
        <w:rPr>
          <w:rFonts w:ascii="Cambria" w:eastAsia="Cambria" w:hAnsi="Cambria" w:cs="Times New Roman"/>
          <w:sz w:val="22"/>
          <w:szCs w:val="22"/>
        </w:rPr>
        <w:t xml:space="preserve"> in terms of the % of patients who receive a potentially avoidable fluoroquinolone and the % of patients who receive antibiotic durations &gt;7 days. If convincing clinicians to </w:t>
      </w:r>
      <w:r w:rsidRPr="00EA22DD">
        <w:rPr>
          <w:rFonts w:ascii="Cambria" w:eastAsia="Cambria" w:hAnsi="Cambria" w:cs="Times New Roman"/>
          <w:i/>
          <w:iCs/>
          <w:sz w:val="22"/>
          <w:szCs w:val="22"/>
        </w:rPr>
        <w:t>stop</w:t>
      </w:r>
      <w:r w:rsidRPr="00EA22DD">
        <w:rPr>
          <w:rFonts w:ascii="Cambria" w:eastAsia="Cambria" w:hAnsi="Cambria" w:cs="Times New Roman"/>
          <w:sz w:val="22"/>
          <w:szCs w:val="22"/>
        </w:rPr>
        <w:t xml:space="preserve"> prescribing antibiotics for ASB is too hard at your hospital, it might be easier to convince them to prescribe shorter durations (e.g., 3 days) or less harmful/more narrow therapy (e.g., nitrofurantoin) for patients without symptoms. This might be a compromise or intermediate step to get clinicians comfortable with less antibiotics for these patients. Next year, we plan to focus on discharge antibiotic prescribing including duration and fluoroquinolone use and can help provide some strategies to work on this change.</w:t>
      </w:r>
    </w:p>
    <w:p w14:paraId="53215790" w14:textId="77777777" w:rsidR="00EA22DD" w:rsidRPr="00EA22DD" w:rsidRDefault="00EA22DD" w:rsidP="00EA22DD">
      <w:pPr>
        <w:spacing w:before="180" w:after="180"/>
        <w:rPr>
          <w:rFonts w:ascii="Cambria" w:eastAsia="Cambria" w:hAnsi="Cambria" w:cs="Times New Roman"/>
          <w:sz w:val="18"/>
          <w:szCs w:val="18"/>
        </w:rPr>
      </w:pPr>
      <w:r w:rsidRPr="00EA22DD">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EA22DD">
        <w:rPr>
          <w:rFonts w:ascii="Cambria" w:eastAsia="Cambria" w:hAnsi="Cambria" w:cs="Times New Roman"/>
          <w:b/>
          <w:bCs/>
          <w:sz w:val="18"/>
          <w:szCs w:val="18"/>
        </w:rPr>
        <w:t>at least 59 cases</w:t>
      </w:r>
      <w:r w:rsidRPr="00EA22DD">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41291EF5" w14:textId="77777777" w:rsidR="00EA22DD" w:rsidRPr="00EA22DD" w:rsidRDefault="00EA22DD" w:rsidP="00EA22DD">
      <w:pPr>
        <w:spacing w:before="180" w:after="180"/>
        <w:rPr>
          <w:rFonts w:ascii="Cambria" w:eastAsia="Cambria" w:hAnsi="Cambria" w:cs="Times New Roman"/>
          <w:sz w:val="22"/>
          <w:szCs w:val="22"/>
          <w:highlight w:val="yellow"/>
        </w:rPr>
      </w:pPr>
      <w:r w:rsidRPr="00EA22DD">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p w14:paraId="5206AC2D" w14:textId="379D032C" w:rsidR="00F944FD" w:rsidRPr="00EA22DD" w:rsidRDefault="00F944FD" w:rsidP="00EA22DD"/>
    <w:sectPr w:rsidR="00F944FD" w:rsidRPr="00EA22DD"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5744C1"/>
    <w:rsid w:val="00B02CDF"/>
    <w:rsid w:val="00E02C37"/>
    <w:rsid w:val="00EA22DD"/>
    <w:rsid w:val="00F070AA"/>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2023-08-23T16:39:00Z</dcterms:created>
  <dcterms:modified xsi:type="dcterms:W3CDTF">2023-08-23T16:39:00Z</dcterms:modified>
</cp:coreProperties>
</file>