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569" w:rsidRPr="00F73569" w:rsidRDefault="00F73569" w:rsidP="00F73569">
      <w:pPr>
        <w:jc w:val="center"/>
        <w:rPr>
          <w:b/>
          <w:sz w:val="28"/>
          <w:szCs w:val="28"/>
        </w:rPr>
      </w:pPr>
      <w:r w:rsidRPr="00F73569">
        <w:rPr>
          <w:b/>
          <w:sz w:val="28"/>
          <w:szCs w:val="28"/>
        </w:rPr>
        <w:t>Community Acquired Pneumonia</w:t>
      </w:r>
    </w:p>
    <w:p w:rsidR="00F73569" w:rsidRPr="00F73569" w:rsidRDefault="00F73569" w:rsidP="00F73569">
      <w:r w:rsidRPr="00F73569">
        <w:t>Community Acquired Pneumonia Treatment Basics:</w:t>
      </w:r>
    </w:p>
    <w:p w:rsidR="00F73569" w:rsidRPr="00F73569" w:rsidRDefault="00F73569" w:rsidP="00F73569">
      <w:pPr>
        <w:numPr>
          <w:ilvl w:val="0"/>
          <w:numId w:val="5"/>
        </w:numPr>
        <w:contextualSpacing/>
      </w:pPr>
      <w:r w:rsidRPr="00F73569">
        <w:t xml:space="preserve">The decision for hospitalization should be based on clinical judgment and a validated prognostic tool. </w:t>
      </w:r>
    </w:p>
    <w:p w:rsidR="00F73569" w:rsidRPr="00F73569" w:rsidRDefault="00F73569" w:rsidP="00F73569">
      <w:pPr>
        <w:numPr>
          <w:ilvl w:val="1"/>
          <w:numId w:val="5"/>
        </w:numPr>
        <w:ind w:left="1440"/>
        <w:contextualSpacing/>
        <w:rPr>
          <w:rFonts w:ascii="Calibri" w:hAnsi="Calibri"/>
        </w:rPr>
      </w:pPr>
      <w:r w:rsidRPr="00F73569">
        <w:rPr>
          <w:rFonts w:ascii="Calibri" w:hAnsi="Calibri" w:cs="Times New Roman"/>
          <w:color w:val="000000"/>
        </w:rPr>
        <w:t>PSI is recommended over CURB-65</w:t>
      </w:r>
    </w:p>
    <w:p w:rsidR="00F73569" w:rsidRPr="00F73569" w:rsidRDefault="00F73569" w:rsidP="00F73569">
      <w:pPr>
        <w:numPr>
          <w:ilvl w:val="2"/>
          <w:numId w:val="5"/>
        </w:numPr>
        <w:contextualSpacing/>
        <w:rPr>
          <w:b/>
        </w:rPr>
      </w:pPr>
      <w:r w:rsidRPr="00F73569">
        <w:rPr>
          <w:rFonts w:ascii="Calibri" w:hAnsi="Calibri" w:cs="Times New Roman"/>
          <w:color w:val="000000"/>
        </w:rPr>
        <w:t xml:space="preserve">PSI calculator: </w:t>
      </w:r>
      <w:hyperlink r:id="rId5" w:history="1">
        <w:r w:rsidRPr="00D87710">
          <w:rPr>
            <w:rStyle w:val="Hyperlink"/>
            <w:rFonts w:ascii="Calibri" w:hAnsi="Calibri" w:cs="Times New Roman"/>
          </w:rPr>
          <w:t>https://www.mdcalc.co</w:t>
        </w:r>
        <w:r w:rsidRPr="00D87710">
          <w:rPr>
            <w:rStyle w:val="Hyperlink"/>
            <w:rFonts w:ascii="Calibri" w:hAnsi="Calibri" w:cs="Times New Roman"/>
          </w:rPr>
          <w:t>m</w:t>
        </w:r>
        <w:r w:rsidRPr="00D87710">
          <w:rPr>
            <w:rStyle w:val="Hyperlink"/>
            <w:rFonts w:ascii="Calibri" w:hAnsi="Calibri" w:cs="Times New Roman"/>
          </w:rPr>
          <w:t>/psi-port-score-pneumonia-severity-index-cap</w:t>
        </w:r>
      </w:hyperlink>
      <w:r>
        <w:rPr>
          <w:rFonts w:ascii="Calibri" w:hAnsi="Calibri" w:cs="Times New Roman"/>
          <w:color w:val="000000"/>
        </w:rPr>
        <w:t xml:space="preserve"> </w:t>
      </w:r>
    </w:p>
    <w:p w:rsidR="00F73569" w:rsidRDefault="00F73569" w:rsidP="00F73569">
      <w:pPr>
        <w:numPr>
          <w:ilvl w:val="2"/>
          <w:numId w:val="5"/>
        </w:numPr>
        <w:contextualSpacing/>
      </w:pPr>
      <w:r w:rsidRPr="00F73569">
        <w:t xml:space="preserve">CURB-65: </w:t>
      </w:r>
      <w:hyperlink r:id="rId6" w:history="1">
        <w:r w:rsidRPr="00D87710">
          <w:rPr>
            <w:rStyle w:val="Hyperlink"/>
          </w:rPr>
          <w:t>https://www.mdcalc.com/curb-</w:t>
        </w:r>
        <w:r w:rsidRPr="00D87710">
          <w:rPr>
            <w:rStyle w:val="Hyperlink"/>
          </w:rPr>
          <w:t>6</w:t>
        </w:r>
        <w:r w:rsidRPr="00D87710">
          <w:rPr>
            <w:rStyle w:val="Hyperlink"/>
          </w:rPr>
          <w:t>5-score-pneumonia-severity</w:t>
        </w:r>
      </w:hyperlink>
    </w:p>
    <w:p w:rsidR="005B6803" w:rsidRDefault="005B6803" w:rsidP="005B6803">
      <w:pPr>
        <w:pStyle w:val="ListParagraph"/>
        <w:numPr>
          <w:ilvl w:val="0"/>
          <w:numId w:val="5"/>
        </w:numPr>
      </w:pPr>
      <w:r>
        <w:t>Suggested that blood culture an</w:t>
      </w:r>
      <w:r>
        <w:t>d sputum gram stain +</w:t>
      </w:r>
      <w:r>
        <w:t xml:space="preserve"> culture </w:t>
      </w:r>
      <w:r w:rsidRPr="00F73569">
        <w:rPr>
          <w:b/>
        </w:rPr>
        <w:t>not</w:t>
      </w:r>
      <w:r>
        <w:t xml:space="preserve"> be routinely done for </w:t>
      </w:r>
      <w:r w:rsidRPr="00F73569">
        <w:rPr>
          <w:b/>
        </w:rPr>
        <w:t xml:space="preserve">non-severe </w:t>
      </w:r>
      <w:r>
        <w:t>CAP.</w:t>
      </w:r>
    </w:p>
    <w:p w:rsidR="00F73569" w:rsidRPr="00F73569" w:rsidRDefault="00F73569" w:rsidP="00F73569">
      <w:pPr>
        <w:pStyle w:val="ListParagraph"/>
        <w:numPr>
          <w:ilvl w:val="0"/>
          <w:numId w:val="5"/>
        </w:numPr>
      </w:pPr>
      <w:r w:rsidRPr="00F73569">
        <w:t>Blood culture and sputum gram stain and culture are recommended for:</w:t>
      </w:r>
    </w:p>
    <w:p w:rsidR="00F73569" w:rsidRPr="005B6803" w:rsidRDefault="00F73569" w:rsidP="00F73569">
      <w:pPr>
        <w:pStyle w:val="ListParagraph"/>
        <w:numPr>
          <w:ilvl w:val="1"/>
          <w:numId w:val="5"/>
        </w:numPr>
        <w:rPr>
          <w:b/>
        </w:rPr>
      </w:pPr>
      <w:r w:rsidRPr="005B6803">
        <w:rPr>
          <w:b/>
        </w:rPr>
        <w:t>Severe CAP*</w:t>
      </w:r>
    </w:p>
    <w:p w:rsidR="00F73569" w:rsidRPr="00F73569" w:rsidRDefault="00F73569" w:rsidP="00F73569">
      <w:pPr>
        <w:pStyle w:val="ListParagraph"/>
        <w:numPr>
          <w:ilvl w:val="1"/>
          <w:numId w:val="5"/>
        </w:numPr>
      </w:pPr>
      <w:r>
        <w:t>F</w:t>
      </w:r>
      <w:r w:rsidRPr="00F73569">
        <w:t xml:space="preserve">or patients that are being treated empirically or previously infected with Pseudomonas aeruginosa and/ or MRSA.  </w:t>
      </w:r>
    </w:p>
    <w:p w:rsidR="00F73569" w:rsidRDefault="00F73569" w:rsidP="00F73569">
      <w:pPr>
        <w:pStyle w:val="ListParagraph"/>
        <w:numPr>
          <w:ilvl w:val="1"/>
          <w:numId w:val="5"/>
        </w:numPr>
      </w:pPr>
      <w:r w:rsidRPr="00F73569">
        <w:t xml:space="preserve">For patients who have been hospitalized and received parenteral antibiotics within the prior 90 days. </w:t>
      </w:r>
      <w:bookmarkStart w:id="0" w:name="_GoBack"/>
      <w:bookmarkEnd w:id="0"/>
    </w:p>
    <w:p w:rsidR="00F73569" w:rsidRPr="00F73569" w:rsidRDefault="00F73569" w:rsidP="00F73569">
      <w:pPr>
        <w:numPr>
          <w:ilvl w:val="0"/>
          <w:numId w:val="5"/>
        </w:numPr>
        <w:contextualSpacing/>
      </w:pPr>
      <w:r w:rsidRPr="00F73569">
        <w:t xml:space="preserve">Urine antigen testing for Legionella can </w:t>
      </w:r>
      <w:r w:rsidR="005B6803">
        <w:t xml:space="preserve">be considered in severe CAP, </w:t>
      </w:r>
      <w:r w:rsidRPr="00F73569">
        <w:t>if</w:t>
      </w:r>
      <w:r w:rsidR="005B6803">
        <w:t xml:space="preserve"> a</w:t>
      </w:r>
      <w:r w:rsidRPr="00F73569">
        <w:t xml:space="preserve"> patient has recent travel in</w:t>
      </w:r>
      <w:r w:rsidR="005B6803">
        <w:t xml:space="preserve"> the</w:t>
      </w:r>
      <w:r w:rsidRPr="00F73569">
        <w:t xml:space="preserve"> previous ten days</w:t>
      </w:r>
      <w:r w:rsidR="005B6803">
        <w:t>, or</w:t>
      </w:r>
      <w:r w:rsidRPr="00F73569">
        <w:t xml:space="preserve"> an outbreak. </w:t>
      </w:r>
    </w:p>
    <w:p w:rsidR="00F73569" w:rsidRDefault="00F73569" w:rsidP="00F73569">
      <w:pPr>
        <w:numPr>
          <w:ilvl w:val="0"/>
          <w:numId w:val="5"/>
        </w:numPr>
        <w:contextualSpacing/>
      </w:pPr>
      <w:r w:rsidRPr="00F73569">
        <w:t xml:space="preserve">Anaerobic coverage does not need to be routinely added to cases of aspiration pneumonia unless a lung abscess or empyema is suspected. </w:t>
      </w:r>
    </w:p>
    <w:p w:rsidR="00F73569" w:rsidRPr="00F73569" w:rsidRDefault="00F73569" w:rsidP="00F73569">
      <w:pPr>
        <w:ind w:left="720"/>
        <w:contextualSpacing/>
      </w:pPr>
    </w:p>
    <w:p w:rsidR="00F73569" w:rsidRPr="00F73569" w:rsidRDefault="00F73569" w:rsidP="00F73569">
      <w:pPr>
        <w:ind w:left="720"/>
      </w:pPr>
      <w:r w:rsidRPr="00F73569">
        <w:rPr>
          <w:b/>
        </w:rPr>
        <w:t>*</w:t>
      </w:r>
      <w:r w:rsidRPr="00F73569">
        <w:t>Severe pneumonia per ATS/ IDSA guidelines:</w:t>
      </w:r>
    </w:p>
    <w:p w:rsidR="00F73569" w:rsidRPr="00F73569" w:rsidRDefault="00F73569" w:rsidP="00F73569">
      <w:pPr>
        <w:numPr>
          <w:ilvl w:val="0"/>
          <w:numId w:val="6"/>
        </w:numPr>
        <w:contextualSpacing/>
      </w:pPr>
      <w:r w:rsidRPr="00F73569">
        <w:t>Septic shock with need for vasopressors</w:t>
      </w:r>
    </w:p>
    <w:p w:rsidR="00F73569" w:rsidRPr="00F73569" w:rsidRDefault="00F73569" w:rsidP="00F73569">
      <w:pPr>
        <w:numPr>
          <w:ilvl w:val="0"/>
          <w:numId w:val="6"/>
        </w:numPr>
        <w:contextualSpacing/>
      </w:pPr>
      <w:r w:rsidRPr="00F73569">
        <w:t>Respiratory failure requiring mechanical ventilation</w:t>
      </w:r>
    </w:p>
    <w:p w:rsidR="00F73569" w:rsidRPr="00F73569" w:rsidRDefault="00F73569" w:rsidP="00F73569">
      <w:pPr>
        <w:numPr>
          <w:ilvl w:val="0"/>
          <w:numId w:val="6"/>
        </w:numPr>
        <w:contextualSpacing/>
      </w:pPr>
      <w:r w:rsidRPr="00F73569">
        <w:t>Three or more minor criteria:</w:t>
      </w:r>
    </w:p>
    <w:p w:rsidR="00F73569" w:rsidRPr="00F73569" w:rsidRDefault="00F73569" w:rsidP="00F73569">
      <w:pPr>
        <w:numPr>
          <w:ilvl w:val="1"/>
          <w:numId w:val="6"/>
        </w:numPr>
        <w:contextualSpacing/>
      </w:pPr>
      <w:r w:rsidRPr="00F73569">
        <w:t>Respiratory rate ≥ 30 breaths/ min</w:t>
      </w:r>
    </w:p>
    <w:p w:rsidR="00F73569" w:rsidRPr="00F73569" w:rsidRDefault="00F73569" w:rsidP="00F73569">
      <w:pPr>
        <w:numPr>
          <w:ilvl w:val="1"/>
          <w:numId w:val="6"/>
        </w:numPr>
        <w:contextualSpacing/>
      </w:pPr>
      <w:r w:rsidRPr="00F73569">
        <w:t>PaO2/ FiO2 ratio ≤ 250</w:t>
      </w:r>
    </w:p>
    <w:p w:rsidR="00F73569" w:rsidRPr="00F73569" w:rsidRDefault="00F73569" w:rsidP="00F73569">
      <w:pPr>
        <w:numPr>
          <w:ilvl w:val="1"/>
          <w:numId w:val="6"/>
        </w:numPr>
        <w:contextualSpacing/>
      </w:pPr>
      <w:r w:rsidRPr="00F73569">
        <w:t>Multilobar infiltrates</w:t>
      </w:r>
    </w:p>
    <w:p w:rsidR="00F73569" w:rsidRPr="00F73569" w:rsidRDefault="00F73569" w:rsidP="00F73569">
      <w:pPr>
        <w:numPr>
          <w:ilvl w:val="1"/>
          <w:numId w:val="6"/>
        </w:numPr>
        <w:contextualSpacing/>
      </w:pPr>
      <w:r w:rsidRPr="00F73569">
        <w:t>Confusion or disorientation</w:t>
      </w:r>
    </w:p>
    <w:p w:rsidR="00F73569" w:rsidRPr="00F73569" w:rsidRDefault="00F73569" w:rsidP="00F73569">
      <w:pPr>
        <w:numPr>
          <w:ilvl w:val="1"/>
          <w:numId w:val="6"/>
        </w:numPr>
        <w:contextualSpacing/>
      </w:pPr>
      <w:r w:rsidRPr="00F73569">
        <w:t>BUN ≥ 20 mg/ dL</w:t>
      </w:r>
    </w:p>
    <w:p w:rsidR="00F73569" w:rsidRPr="00F73569" w:rsidRDefault="00F73569" w:rsidP="00F73569">
      <w:pPr>
        <w:numPr>
          <w:ilvl w:val="1"/>
          <w:numId w:val="6"/>
        </w:numPr>
        <w:contextualSpacing/>
      </w:pPr>
      <w:r w:rsidRPr="00F73569">
        <w:t>WBC &lt; 4,000 cells/ mm</w:t>
      </w:r>
      <w:r w:rsidRPr="00F73569">
        <w:rPr>
          <w:vertAlign w:val="superscript"/>
        </w:rPr>
        <w:t>3</w:t>
      </w:r>
      <w:r w:rsidRPr="00F73569">
        <w:t xml:space="preserve"> (not due to chemotherapy)</w:t>
      </w:r>
    </w:p>
    <w:p w:rsidR="00F73569" w:rsidRPr="00F73569" w:rsidRDefault="00F73569" w:rsidP="00F73569">
      <w:pPr>
        <w:numPr>
          <w:ilvl w:val="1"/>
          <w:numId w:val="6"/>
        </w:numPr>
        <w:contextualSpacing/>
      </w:pPr>
      <w:r w:rsidRPr="00F73569">
        <w:t>Platelets &lt; 100,000/ mm</w:t>
      </w:r>
      <w:r w:rsidRPr="00F73569">
        <w:rPr>
          <w:vertAlign w:val="superscript"/>
        </w:rPr>
        <w:t xml:space="preserve">3 </w:t>
      </w:r>
    </w:p>
    <w:p w:rsidR="00F73569" w:rsidRPr="00F73569" w:rsidRDefault="00F73569" w:rsidP="00F73569">
      <w:pPr>
        <w:numPr>
          <w:ilvl w:val="1"/>
          <w:numId w:val="6"/>
        </w:numPr>
        <w:contextualSpacing/>
      </w:pPr>
      <w:r w:rsidRPr="00F73569">
        <w:t>Core temperature &lt; 36 ͦC</w:t>
      </w:r>
    </w:p>
    <w:p w:rsidR="00F73569" w:rsidRDefault="00F73569" w:rsidP="00F73569">
      <w:pPr>
        <w:numPr>
          <w:ilvl w:val="1"/>
          <w:numId w:val="6"/>
        </w:numPr>
        <w:contextualSpacing/>
      </w:pPr>
      <w:r w:rsidRPr="00F73569">
        <w:t>Hypotension requiring aggressive fluid resuscitation</w:t>
      </w:r>
    </w:p>
    <w:p w:rsidR="00F73569" w:rsidRDefault="00F73569" w:rsidP="00F73569">
      <w:pPr>
        <w:contextualSpacing/>
      </w:pPr>
    </w:p>
    <w:p w:rsidR="00F73569" w:rsidRDefault="00F73569" w:rsidP="00F73569">
      <w:pPr>
        <w:contextualSpacing/>
      </w:pPr>
    </w:p>
    <w:p w:rsidR="00F73569" w:rsidRDefault="00F73569" w:rsidP="00F73569">
      <w:pPr>
        <w:contextualSpacing/>
      </w:pPr>
    </w:p>
    <w:p w:rsidR="00F73569" w:rsidRDefault="00F73569" w:rsidP="00F73569">
      <w:pPr>
        <w:contextualSpacing/>
      </w:pPr>
    </w:p>
    <w:p w:rsidR="00F73569" w:rsidRDefault="00F73569" w:rsidP="00F73569">
      <w:pPr>
        <w:contextualSpacing/>
      </w:pPr>
    </w:p>
    <w:p w:rsidR="00F73569" w:rsidRDefault="00F73569" w:rsidP="00F73569">
      <w:pPr>
        <w:contextualSpacing/>
      </w:pPr>
    </w:p>
    <w:p w:rsidR="00F73569" w:rsidRDefault="00F73569" w:rsidP="00F73569">
      <w:pPr>
        <w:contextualSpacing/>
      </w:pPr>
    </w:p>
    <w:p w:rsidR="00F73569" w:rsidRPr="00F73569" w:rsidRDefault="00F73569" w:rsidP="00F73569">
      <w:pPr>
        <w:contextualSpacing/>
      </w:pPr>
    </w:p>
    <w:p w:rsidR="00F73569" w:rsidRPr="00F73569" w:rsidRDefault="00F73569" w:rsidP="00F73569">
      <w:pPr>
        <w:rPr>
          <w:b/>
        </w:rPr>
      </w:pPr>
      <w:r w:rsidRPr="00F73569">
        <w:rPr>
          <w:b/>
        </w:rPr>
        <w:t>MSU/ CCU Antibiotics</w:t>
      </w:r>
    </w:p>
    <w:p w:rsidR="00F73569" w:rsidRPr="00F73569" w:rsidRDefault="00F73569" w:rsidP="00F73569">
      <w:pPr>
        <w:numPr>
          <w:ilvl w:val="0"/>
          <w:numId w:val="1"/>
        </w:numPr>
        <w:contextualSpacing/>
      </w:pPr>
      <w:r w:rsidRPr="00F73569">
        <w:t>Ceftriaxone 1 to 2 g IV q 24 hours until stable, then pharmacy will change to</w:t>
      </w:r>
      <w:r>
        <w:t xml:space="preserve"> oral</w:t>
      </w:r>
      <w:r w:rsidRPr="00F73569">
        <w:t xml:space="preserve"> amoxicillin</w:t>
      </w:r>
      <w:r>
        <w:t xml:space="preserve"> </w:t>
      </w:r>
      <w:r w:rsidRPr="00F73569">
        <w:t>1000 mg three times daily for a total course of  5 days</w:t>
      </w:r>
      <w:r>
        <w:t xml:space="preserve"> for previously healthy patient</w:t>
      </w:r>
      <w:r w:rsidRPr="00F73569">
        <w:t>s with no comorbidities</w:t>
      </w:r>
      <w:r>
        <w:t>.</w:t>
      </w:r>
    </w:p>
    <w:p w:rsidR="00F73569" w:rsidRPr="00F73569" w:rsidRDefault="00F73569" w:rsidP="00F73569">
      <w:pPr>
        <w:numPr>
          <w:ilvl w:val="0"/>
          <w:numId w:val="1"/>
        </w:numPr>
        <w:contextualSpacing/>
      </w:pPr>
      <w:r w:rsidRPr="00F73569">
        <w:t>With comorbidities: Heart disease, lung disease, liver disease, kidney disease, diabetes, alcoholism, cancer and asplenia. The clinical pharmacist will change to one of the following oral options (renal adjustments per pharmacy) when clinically stable for a total course of 5 days:</w:t>
      </w:r>
    </w:p>
    <w:p w:rsidR="00F73569" w:rsidRPr="00F73569" w:rsidRDefault="00F73569" w:rsidP="00F73569">
      <w:pPr>
        <w:numPr>
          <w:ilvl w:val="1"/>
          <w:numId w:val="1"/>
        </w:numPr>
        <w:contextualSpacing/>
      </w:pPr>
      <w:r w:rsidRPr="00F73569">
        <w:t>Cefuroxime 500 mg BID</w:t>
      </w:r>
    </w:p>
    <w:p w:rsidR="00F73569" w:rsidRPr="00F73569" w:rsidRDefault="00F73569" w:rsidP="00F73569">
      <w:pPr>
        <w:numPr>
          <w:ilvl w:val="1"/>
          <w:numId w:val="1"/>
        </w:numPr>
        <w:contextualSpacing/>
      </w:pPr>
      <w:r w:rsidRPr="00F73569">
        <w:t>Cefpodoxime 200 mg BID</w:t>
      </w:r>
    </w:p>
    <w:p w:rsidR="00F73569" w:rsidRPr="00F73569" w:rsidRDefault="00F73569" w:rsidP="00F73569">
      <w:pPr>
        <w:numPr>
          <w:ilvl w:val="1"/>
          <w:numId w:val="1"/>
        </w:numPr>
        <w:contextualSpacing/>
      </w:pPr>
      <w:r w:rsidRPr="00F73569">
        <w:t xml:space="preserve">Amoxicillin/ clavulanate 875 mg/ 125 mg BID </w:t>
      </w:r>
    </w:p>
    <w:p w:rsidR="00F73569" w:rsidRPr="00F73569" w:rsidRDefault="00F73569" w:rsidP="00F73569">
      <w:pPr>
        <w:ind w:left="720"/>
        <w:contextualSpacing/>
      </w:pPr>
    </w:p>
    <w:p w:rsidR="00F73569" w:rsidRPr="00F73569" w:rsidRDefault="00F73569" w:rsidP="00F73569">
      <w:pPr>
        <w:ind w:left="720"/>
        <w:contextualSpacing/>
        <w:rPr>
          <w:b/>
        </w:rPr>
      </w:pPr>
      <w:r w:rsidRPr="00F73569">
        <w:rPr>
          <w:b/>
        </w:rPr>
        <w:t>Plus either</w:t>
      </w:r>
    </w:p>
    <w:p w:rsidR="00F73569" w:rsidRPr="00F73569" w:rsidRDefault="00F73569" w:rsidP="00F73569">
      <w:pPr>
        <w:ind w:left="720"/>
        <w:contextualSpacing/>
        <w:rPr>
          <w:b/>
        </w:rPr>
      </w:pPr>
    </w:p>
    <w:p w:rsidR="00F73569" w:rsidRPr="00F73569" w:rsidRDefault="00F73569" w:rsidP="00F73569">
      <w:pPr>
        <w:numPr>
          <w:ilvl w:val="0"/>
          <w:numId w:val="1"/>
        </w:numPr>
        <w:contextualSpacing/>
      </w:pPr>
      <w:r w:rsidRPr="00F73569">
        <w:t xml:space="preserve">Azithromycin 500 mg orally x 3 days (If unable to take PO may order azithromycin 500 mg IV and pharmacy will change to PO when patient can tolerate). </w:t>
      </w:r>
    </w:p>
    <w:p w:rsidR="00F73569" w:rsidRPr="00F73569" w:rsidRDefault="00F73569" w:rsidP="00F73569">
      <w:pPr>
        <w:ind w:left="720"/>
        <w:contextualSpacing/>
        <w:rPr>
          <w:b/>
        </w:rPr>
      </w:pPr>
      <w:r w:rsidRPr="00F73569">
        <w:rPr>
          <w:b/>
        </w:rPr>
        <w:t>Or</w:t>
      </w:r>
    </w:p>
    <w:p w:rsidR="00F73569" w:rsidRDefault="00F73569" w:rsidP="00F73569">
      <w:pPr>
        <w:numPr>
          <w:ilvl w:val="0"/>
          <w:numId w:val="1"/>
        </w:numPr>
        <w:contextualSpacing/>
      </w:pPr>
      <w:r w:rsidRPr="00F73569">
        <w:t xml:space="preserve">Doxycycline 100 mg orally twice daily for 5 days.  (Consider for patients with prolonged QTc interval or at risk for prolonged QTc interval due to drug interactions. If unable to take PO may order IV and pharmacy will change to PO when patient can tolerate). </w:t>
      </w:r>
    </w:p>
    <w:p w:rsidR="004A2444" w:rsidRPr="00F73569" w:rsidRDefault="004A2444" w:rsidP="004A2444">
      <w:pPr>
        <w:ind w:left="720"/>
        <w:contextualSpacing/>
      </w:pPr>
    </w:p>
    <w:p w:rsidR="00F73569" w:rsidRPr="00F73569" w:rsidRDefault="00F73569" w:rsidP="00F73569">
      <w:pPr>
        <w:ind w:left="720"/>
        <w:contextualSpacing/>
      </w:pPr>
    </w:p>
    <w:p w:rsidR="004A2444" w:rsidRDefault="00F73569" w:rsidP="004A2444">
      <w:pPr>
        <w:numPr>
          <w:ilvl w:val="0"/>
          <w:numId w:val="2"/>
        </w:numPr>
        <w:contextualSpacing/>
      </w:pPr>
      <w:r w:rsidRPr="00F73569">
        <w:rPr>
          <w:b/>
        </w:rPr>
        <w:t>If β-lactam allergy</w:t>
      </w:r>
      <w:r w:rsidRPr="00F73569">
        <w:t>: If patient has a documented type I IgE mediated reaction, i.e. anaphylaxis (urticarial rash, pruritus, flushing, angioedema) to penicillin or amoxicillin, these patients are still able to receive ceftriaxone, cefuroxime and cefpodoxime</w:t>
      </w:r>
      <w:r w:rsidR="004A2444">
        <w:t>, consult pharmacy if questions</w:t>
      </w:r>
      <w:r w:rsidRPr="00F73569">
        <w:t xml:space="preserve">. If used, levofloxacin can be used as monotherapy with 750 mg orally daily x 5 days (renal dose adjustments to be done by pharmacy) or moxifloxacin 400 mg once daily x 5 days. Note evidence favors a beta-lactam/ macrolide combination and there is an increased risk of severe side effects with fluoroquinolone use. </w:t>
      </w:r>
    </w:p>
    <w:p w:rsidR="00F73569" w:rsidRPr="00F73569" w:rsidRDefault="004A2444" w:rsidP="004A2444">
      <w:pPr>
        <w:numPr>
          <w:ilvl w:val="0"/>
          <w:numId w:val="2"/>
        </w:numPr>
        <w:contextualSpacing/>
      </w:pPr>
      <w:r w:rsidRPr="004A2444">
        <w:t xml:space="preserve">If a patient has recently received (i.e. within the past 90 days) an antibiotic for CAP, pick an option from a different class. </w:t>
      </w:r>
    </w:p>
    <w:p w:rsidR="00F73569" w:rsidRPr="00F73569" w:rsidRDefault="00F73569" w:rsidP="00F73569">
      <w:pPr>
        <w:numPr>
          <w:ilvl w:val="0"/>
          <w:numId w:val="2"/>
        </w:numPr>
        <w:contextualSpacing/>
      </w:pPr>
      <w:r w:rsidRPr="00F73569">
        <w:t xml:space="preserve">There are protocols currently in place for pharmacy to covert IV medications to PO and for pharmacy to choose antibiotic durations according to indication. </w:t>
      </w:r>
    </w:p>
    <w:p w:rsidR="00F73569" w:rsidRPr="00F73569" w:rsidRDefault="00F73569" w:rsidP="00F73569">
      <w:pPr>
        <w:ind w:left="720"/>
        <w:contextualSpacing/>
      </w:pPr>
    </w:p>
    <w:p w:rsidR="00F73569" w:rsidRPr="00F73569" w:rsidRDefault="00F73569" w:rsidP="00F73569">
      <w:pPr>
        <w:rPr>
          <w:b/>
        </w:rPr>
      </w:pPr>
      <w:r w:rsidRPr="00F73569">
        <w:rPr>
          <w:b/>
        </w:rPr>
        <w:t>Procalcitonin (PCT)</w:t>
      </w:r>
    </w:p>
    <w:p w:rsidR="00F73569" w:rsidRPr="00F73569" w:rsidRDefault="00F73569" w:rsidP="00F73569">
      <w:pPr>
        <w:pStyle w:val="ListParagraph"/>
        <w:numPr>
          <w:ilvl w:val="0"/>
          <w:numId w:val="7"/>
        </w:numPr>
      </w:pPr>
      <w:r w:rsidRPr="00F73569">
        <w:t xml:space="preserve">Empiric antibiotics should be started if CAP is clinically suspected and confirmed by radiographic evidence, regardless of procalcitonin level. Recent evidence suggests that sensitivity is inadequate to determine when initial antibiotic therapy can be deferred. </w:t>
      </w:r>
    </w:p>
    <w:p w:rsidR="00F73569" w:rsidRPr="00F73569" w:rsidRDefault="00F73569" w:rsidP="00F73569">
      <w:pPr>
        <w:pStyle w:val="ListParagraph"/>
        <w:numPr>
          <w:ilvl w:val="0"/>
          <w:numId w:val="7"/>
        </w:numPr>
      </w:pPr>
      <w:r w:rsidRPr="00F73569">
        <w:t>Procalcitonin can be used to guide discontinuation of antibiotics if a patient goes beyond five days of therapy. Antibiotics can be d</w:t>
      </w:r>
      <w:r w:rsidRPr="00F73569">
        <w:t>iscontinued when PCT is ≤ 0.25 ng/ mL or ∆ PCT &gt; 80%.</w:t>
      </w:r>
      <w:r w:rsidRPr="00F73569">
        <w:t xml:space="preserve"> Pharmacy to order and track procalcitonin at their discretion</w:t>
      </w:r>
    </w:p>
    <w:p w:rsidR="00F73569" w:rsidRPr="00F73569" w:rsidRDefault="00F73569" w:rsidP="00F73569"/>
    <w:p w:rsidR="00F73569" w:rsidRPr="00F73569" w:rsidRDefault="00F73569" w:rsidP="00F73569">
      <w:pPr>
        <w:rPr>
          <w:b/>
        </w:rPr>
      </w:pPr>
      <w:r w:rsidRPr="00F73569">
        <w:rPr>
          <w:b/>
        </w:rPr>
        <w:lastRenderedPageBreak/>
        <w:t xml:space="preserve">Drug Resistance in Pneumonia </w:t>
      </w:r>
    </w:p>
    <w:p w:rsidR="00F73569" w:rsidRPr="00F73569" w:rsidRDefault="00F73569" w:rsidP="00F73569">
      <w:r w:rsidRPr="00F73569">
        <w:t xml:space="preserve">Additional coverage may be considered if there is a strong suspicion of MRSA and/ or </w:t>
      </w:r>
      <w:r w:rsidRPr="00F73569">
        <w:rPr>
          <w:i/>
        </w:rPr>
        <w:t>Pseudomonas</w:t>
      </w:r>
      <w:r w:rsidRPr="00F73569">
        <w:t xml:space="preserve">. </w:t>
      </w:r>
    </w:p>
    <w:p w:rsidR="00F73569" w:rsidRPr="00F73569" w:rsidRDefault="00F73569" w:rsidP="00F73569">
      <w:r w:rsidRPr="00F73569">
        <w:t xml:space="preserve">Methicillin-Resistant </w:t>
      </w:r>
      <w:r w:rsidRPr="00F73569">
        <w:rPr>
          <w:i/>
        </w:rPr>
        <w:t xml:space="preserve">Staphylococcus aureus </w:t>
      </w:r>
      <w:r w:rsidRPr="00F73569">
        <w:t>risk factors:</w:t>
      </w:r>
    </w:p>
    <w:p w:rsidR="00F73569" w:rsidRPr="00F73569" w:rsidRDefault="00F73569" w:rsidP="00F73569">
      <w:pPr>
        <w:numPr>
          <w:ilvl w:val="0"/>
          <w:numId w:val="2"/>
        </w:numPr>
        <w:contextualSpacing/>
      </w:pPr>
      <w:r w:rsidRPr="00F73569">
        <w:t>Preceding influenza infection</w:t>
      </w:r>
    </w:p>
    <w:p w:rsidR="00F73569" w:rsidRPr="00F73569" w:rsidRDefault="00F73569" w:rsidP="00F73569">
      <w:pPr>
        <w:numPr>
          <w:ilvl w:val="0"/>
          <w:numId w:val="2"/>
        </w:numPr>
        <w:contextualSpacing/>
      </w:pPr>
      <w:r w:rsidRPr="00F73569">
        <w:t>Necrotizing/ cavitary radiographic findings</w:t>
      </w:r>
    </w:p>
    <w:p w:rsidR="00F73569" w:rsidRPr="00F73569" w:rsidRDefault="00F73569" w:rsidP="00F73569">
      <w:pPr>
        <w:numPr>
          <w:ilvl w:val="0"/>
          <w:numId w:val="2"/>
        </w:numPr>
        <w:contextualSpacing/>
      </w:pPr>
      <w:r w:rsidRPr="00F73569">
        <w:t>Structural lung disease (bronchiectasis)</w:t>
      </w:r>
    </w:p>
    <w:p w:rsidR="00F73569" w:rsidRPr="00F73569" w:rsidRDefault="00F73569" w:rsidP="00F73569">
      <w:pPr>
        <w:numPr>
          <w:ilvl w:val="0"/>
          <w:numId w:val="2"/>
        </w:numPr>
        <w:contextualSpacing/>
      </w:pPr>
      <w:r w:rsidRPr="00F73569">
        <w:t>End-stage renal disease</w:t>
      </w:r>
    </w:p>
    <w:p w:rsidR="00F73569" w:rsidRPr="00F73569" w:rsidRDefault="00F73569" w:rsidP="00F73569">
      <w:pPr>
        <w:numPr>
          <w:ilvl w:val="0"/>
          <w:numId w:val="2"/>
        </w:numPr>
        <w:contextualSpacing/>
      </w:pPr>
      <w:r w:rsidRPr="00F73569">
        <w:t>Prior antibiotics (90 days)</w:t>
      </w:r>
    </w:p>
    <w:p w:rsidR="00F73569" w:rsidRPr="00F73569" w:rsidRDefault="00F73569" w:rsidP="00F73569">
      <w:r w:rsidRPr="00F73569">
        <w:rPr>
          <w:i/>
        </w:rPr>
        <w:t xml:space="preserve">Pseudomonas aeruginosa </w:t>
      </w:r>
      <w:r w:rsidRPr="00F73569">
        <w:t>risk factors:</w:t>
      </w:r>
    </w:p>
    <w:p w:rsidR="00F73569" w:rsidRPr="00F73569" w:rsidRDefault="00F73569" w:rsidP="00F73569">
      <w:pPr>
        <w:numPr>
          <w:ilvl w:val="0"/>
          <w:numId w:val="3"/>
        </w:numPr>
        <w:contextualSpacing/>
      </w:pPr>
      <w:r w:rsidRPr="00F73569">
        <w:t>Severe COPD leading to repeated antibiotic/ steroid exposures</w:t>
      </w:r>
    </w:p>
    <w:p w:rsidR="00F73569" w:rsidRPr="00F73569" w:rsidRDefault="00F73569" w:rsidP="00F73569">
      <w:pPr>
        <w:numPr>
          <w:ilvl w:val="0"/>
          <w:numId w:val="3"/>
        </w:numPr>
        <w:contextualSpacing/>
      </w:pPr>
      <w:r w:rsidRPr="00F73569">
        <w:t>Structural lung disease (bronchiectasis)</w:t>
      </w:r>
    </w:p>
    <w:p w:rsidR="00F73569" w:rsidRPr="00F73569" w:rsidRDefault="00F73569" w:rsidP="00F73569">
      <w:pPr>
        <w:numPr>
          <w:ilvl w:val="0"/>
          <w:numId w:val="3"/>
        </w:numPr>
        <w:contextualSpacing/>
      </w:pPr>
      <w:r w:rsidRPr="00F73569">
        <w:t>Alcoholism</w:t>
      </w:r>
    </w:p>
    <w:p w:rsidR="00F73569" w:rsidRDefault="00F73569" w:rsidP="00F73569">
      <w:pPr>
        <w:numPr>
          <w:ilvl w:val="0"/>
          <w:numId w:val="3"/>
        </w:numPr>
        <w:contextualSpacing/>
      </w:pPr>
      <w:r w:rsidRPr="00F73569">
        <w:t>Prior antibiotics (90 days)</w:t>
      </w:r>
    </w:p>
    <w:p w:rsidR="00F73569" w:rsidRPr="00F73569" w:rsidRDefault="00F73569" w:rsidP="00F73569">
      <w:pPr>
        <w:contextualSpacing/>
      </w:pPr>
    </w:p>
    <w:p w:rsidR="00F73569" w:rsidRPr="00F73569" w:rsidRDefault="00F73569" w:rsidP="00F73569">
      <w:pPr>
        <w:rPr>
          <w:b/>
        </w:rPr>
      </w:pPr>
      <w:r w:rsidRPr="00F73569">
        <w:rPr>
          <w:b/>
        </w:rPr>
        <w:t>Drug Resistant Pneumonia Antibiotics</w:t>
      </w:r>
    </w:p>
    <w:p w:rsidR="00F73569" w:rsidRPr="00F73569" w:rsidRDefault="00F73569" w:rsidP="00F73569">
      <w:pPr>
        <w:numPr>
          <w:ilvl w:val="0"/>
          <w:numId w:val="1"/>
        </w:numPr>
        <w:contextualSpacing/>
        <w:rPr>
          <w:b/>
        </w:rPr>
      </w:pPr>
      <w:r w:rsidRPr="00F73569">
        <w:rPr>
          <w:b/>
        </w:rPr>
        <w:t>Anti-Pseudomonal beta-lactams</w:t>
      </w:r>
    </w:p>
    <w:p w:rsidR="00F73569" w:rsidRPr="00F73569" w:rsidRDefault="00F73569" w:rsidP="00F73569">
      <w:pPr>
        <w:numPr>
          <w:ilvl w:val="1"/>
          <w:numId w:val="1"/>
        </w:numPr>
        <w:contextualSpacing/>
      </w:pPr>
      <w:r w:rsidRPr="00F73569">
        <w:t xml:space="preserve">Cefepime 2 grams IV q 8 hours x 7 days (Renal dose adjustment per pharmacy). </w:t>
      </w:r>
    </w:p>
    <w:p w:rsidR="00F73569" w:rsidRPr="00F73569" w:rsidRDefault="00F73569" w:rsidP="00F73569">
      <w:pPr>
        <w:ind w:firstLine="360"/>
        <w:rPr>
          <w:b/>
        </w:rPr>
      </w:pPr>
      <w:r w:rsidRPr="00F73569">
        <w:rPr>
          <w:b/>
        </w:rPr>
        <w:t>Or</w:t>
      </w:r>
    </w:p>
    <w:p w:rsidR="00F73569" w:rsidRPr="00F73569" w:rsidRDefault="00F73569" w:rsidP="00F73569">
      <w:pPr>
        <w:numPr>
          <w:ilvl w:val="1"/>
          <w:numId w:val="1"/>
        </w:numPr>
        <w:contextualSpacing/>
      </w:pPr>
      <w:r w:rsidRPr="00F73569">
        <w:t xml:space="preserve">Piperacillin/ tazobactam 4.5 grams q 8 hours using extended infusion over 4 hours x 7 days (Renal dose adjustments per pharmacy and may be changed to conventional q 6 hour dosing if needed). </w:t>
      </w:r>
    </w:p>
    <w:p w:rsidR="00F73569" w:rsidRPr="00F73569" w:rsidRDefault="00F73569" w:rsidP="00F73569">
      <w:pPr>
        <w:ind w:firstLine="360"/>
        <w:rPr>
          <w:b/>
        </w:rPr>
      </w:pPr>
      <w:r w:rsidRPr="00F73569">
        <w:rPr>
          <w:b/>
        </w:rPr>
        <w:t>Plus</w:t>
      </w:r>
    </w:p>
    <w:p w:rsidR="00F73569" w:rsidRDefault="00F73569" w:rsidP="002D5F71">
      <w:pPr>
        <w:numPr>
          <w:ilvl w:val="0"/>
          <w:numId w:val="1"/>
        </w:numPr>
        <w:contextualSpacing/>
      </w:pPr>
      <w:r w:rsidRPr="00F73569">
        <w:t>Azithromycin 500 mg orally x 3 days (If unable to take PO may order azithromycin 500 mg IV and pharmacy will change to PO when patient can tolerate).</w:t>
      </w:r>
      <w:r w:rsidR="005B6803">
        <w:t xml:space="preserve"> </w:t>
      </w:r>
    </w:p>
    <w:p w:rsidR="005B6803" w:rsidRPr="00F73569" w:rsidRDefault="005B6803" w:rsidP="005B6803">
      <w:pPr>
        <w:ind w:left="720"/>
        <w:contextualSpacing/>
      </w:pPr>
    </w:p>
    <w:p w:rsidR="00F73569" w:rsidRPr="00F73569" w:rsidRDefault="00F73569" w:rsidP="00F73569">
      <w:pPr>
        <w:numPr>
          <w:ilvl w:val="0"/>
          <w:numId w:val="1"/>
        </w:numPr>
        <w:contextualSpacing/>
        <w:rPr>
          <w:b/>
        </w:rPr>
      </w:pPr>
      <w:r w:rsidRPr="00F73569">
        <w:rPr>
          <w:b/>
        </w:rPr>
        <w:t>If MRSA coverage needed add</w:t>
      </w:r>
    </w:p>
    <w:p w:rsidR="00F73569" w:rsidRPr="00F73569" w:rsidRDefault="00F73569" w:rsidP="00F73569">
      <w:pPr>
        <w:numPr>
          <w:ilvl w:val="1"/>
          <w:numId w:val="1"/>
        </w:numPr>
        <w:contextualSpacing/>
      </w:pPr>
      <w:r w:rsidRPr="00F73569">
        <w:t>Vancomycin IV per pharmacy x 7 days</w:t>
      </w:r>
    </w:p>
    <w:p w:rsidR="00F73569" w:rsidRPr="00F73569" w:rsidRDefault="00F73569" w:rsidP="00F73569">
      <w:pPr>
        <w:rPr>
          <w:b/>
        </w:rPr>
      </w:pPr>
      <w:r w:rsidRPr="00F73569">
        <w:rPr>
          <w:b/>
        </w:rPr>
        <w:t xml:space="preserve">Or </w:t>
      </w:r>
    </w:p>
    <w:p w:rsidR="00F73569" w:rsidRDefault="00F73569" w:rsidP="00F73569">
      <w:pPr>
        <w:numPr>
          <w:ilvl w:val="1"/>
          <w:numId w:val="1"/>
        </w:numPr>
        <w:contextualSpacing/>
      </w:pPr>
      <w:r w:rsidRPr="00F73569">
        <w:t xml:space="preserve">Linezolid 600 mg IV q 12 hours x 7 days (Note numerous drug interactions, pharmacy to change to PO when clinically stable). </w:t>
      </w:r>
    </w:p>
    <w:p w:rsidR="00F73569" w:rsidRPr="00F73569" w:rsidRDefault="00F73569" w:rsidP="00F73569">
      <w:pPr>
        <w:contextualSpacing/>
      </w:pPr>
    </w:p>
    <w:p w:rsidR="00F73569" w:rsidRDefault="00F73569" w:rsidP="00F73569">
      <w:r w:rsidRPr="00F73569">
        <w:t>*Note that combination therapy with piperacillin/ tazobactam and vancomycin increase</w:t>
      </w:r>
      <w:r w:rsidR="005B6803">
        <w:t>s</w:t>
      </w:r>
      <w:r w:rsidRPr="00F73569">
        <w:t xml:space="preserve"> the risk of nephrotoxicity, avoid </w:t>
      </w:r>
      <w:r w:rsidR="005B6803">
        <w:t xml:space="preserve">this </w:t>
      </w:r>
      <w:r w:rsidRPr="00F73569">
        <w:t xml:space="preserve">combination or minimize duration of combination. </w:t>
      </w:r>
    </w:p>
    <w:p w:rsidR="00F73569" w:rsidRDefault="00F73569" w:rsidP="00F73569"/>
    <w:p w:rsidR="00F73569" w:rsidRDefault="00F73569" w:rsidP="00F73569"/>
    <w:p w:rsidR="00F73569" w:rsidRDefault="00F73569" w:rsidP="00F73569"/>
    <w:p w:rsidR="00F73569" w:rsidRDefault="00F73569" w:rsidP="00F73569"/>
    <w:p w:rsidR="00F73569" w:rsidRPr="00F73569" w:rsidRDefault="00F73569" w:rsidP="00F73569">
      <w:pPr>
        <w:rPr>
          <w:b/>
        </w:rPr>
      </w:pPr>
      <w:r w:rsidRPr="00F73569">
        <w:rPr>
          <w:b/>
        </w:rPr>
        <w:lastRenderedPageBreak/>
        <w:t>References</w:t>
      </w:r>
    </w:p>
    <w:p w:rsidR="00F73569" w:rsidRPr="00F73569" w:rsidRDefault="00F73569" w:rsidP="00F73569">
      <w:pPr>
        <w:numPr>
          <w:ilvl w:val="0"/>
          <w:numId w:val="4"/>
        </w:numPr>
        <w:contextualSpacing/>
      </w:pPr>
      <w:r w:rsidRPr="00F73569">
        <w:t xml:space="preserve">Clinical Pharmacology: “Cefepime: For the Treatment of Moderate to Severe Pneumonia, Community-Acquired Pneumonia (CAP) or Nosocomial Pneumonia, Including Cases Associated with Concurrent Bacteremia as Well as Pleural Empyema.” Clinical Pharmacology, Elsevier, 2019, </w:t>
      </w:r>
      <w:hyperlink r:id="rId7" w:history="1">
        <w:r w:rsidRPr="00F73569">
          <w:rPr>
            <w:color w:val="0563C1" w:themeColor="hyperlink"/>
            <w:u w:val="single"/>
          </w:rPr>
          <w:t>http://www.clinicalpharmacology-ip.com/Forms/Monograph/monograph.aspx?cpnum=99&amp;sec=monindi&amp;t=0</w:t>
        </w:r>
      </w:hyperlink>
      <w:r w:rsidRPr="00F73569">
        <w:t>.</w:t>
      </w:r>
    </w:p>
    <w:p w:rsidR="00F73569" w:rsidRPr="00F73569" w:rsidRDefault="00F73569" w:rsidP="00F73569">
      <w:pPr>
        <w:numPr>
          <w:ilvl w:val="0"/>
          <w:numId w:val="4"/>
        </w:numPr>
        <w:contextualSpacing/>
      </w:pPr>
      <w:r w:rsidRPr="00F73569">
        <w:t xml:space="preserve"> Clinical Pharmacology: “Linezolid: For the Treatment of Pneumonia, Including Community-Acquired Pneumonia and Nosocomial Pneumonia: •for the Treatment of Nosocomial Pneumonia Due to S. Aureus (MSSA or MRSA) or S. </w:t>
      </w:r>
      <w:proofErr w:type="spellStart"/>
      <w:r w:rsidRPr="00F73569">
        <w:t>Pneumoniae</w:t>
      </w:r>
      <w:proofErr w:type="spellEnd"/>
      <w:r w:rsidRPr="00F73569">
        <w:t xml:space="preserve"> (Including Multi-Drug Resistant Strains, MDRSP):” Clinical Pharmacology, Elsevier, 2019, </w:t>
      </w:r>
      <w:hyperlink r:id="rId8" w:history="1">
        <w:r w:rsidRPr="00F73569">
          <w:rPr>
            <w:color w:val="0563C1" w:themeColor="hyperlink"/>
            <w:u w:val="single"/>
          </w:rPr>
          <w:t>http://www.clinicalpharmacology-ip.com/Forms/Monograph/monograph.aspx?cpnum=2340&amp;sec=monindi&amp;t=0</w:t>
        </w:r>
      </w:hyperlink>
      <w:r w:rsidRPr="00F73569">
        <w:t>.</w:t>
      </w:r>
    </w:p>
    <w:p w:rsidR="00F73569" w:rsidRPr="00F73569" w:rsidRDefault="00F73569" w:rsidP="00F73569">
      <w:pPr>
        <w:numPr>
          <w:ilvl w:val="0"/>
          <w:numId w:val="4"/>
        </w:numPr>
        <w:contextualSpacing/>
      </w:pPr>
      <w:r w:rsidRPr="00F73569">
        <w:t xml:space="preserve">Clinical Pharmacology: “Piperacillin; Tazobactam: For the Treatment of Pneumonia, Including Community-Acquired Pneumonia (CAP) and Nosocomial Pneumonia, as Well as Pleural </w:t>
      </w:r>
      <w:proofErr w:type="gramStart"/>
      <w:r w:rsidRPr="00F73569">
        <w:t>Empyema .</w:t>
      </w:r>
      <w:proofErr w:type="gramEnd"/>
      <w:r w:rsidRPr="00F73569">
        <w:t xml:space="preserve">” Clinical Pharmacology, Elsevier, 2019, </w:t>
      </w:r>
      <w:hyperlink r:id="rId9" w:history="1">
        <w:r w:rsidRPr="00F73569">
          <w:rPr>
            <w:color w:val="0563C1" w:themeColor="hyperlink"/>
            <w:u w:val="single"/>
          </w:rPr>
          <w:t>http://www.clinicalpharmacology-ip.com/Forms/Monograph/monograph.aspx?cpnum=491&amp;sec=monindi&amp;t=0</w:t>
        </w:r>
      </w:hyperlink>
      <w:r w:rsidRPr="00F73569">
        <w:t>.</w:t>
      </w:r>
    </w:p>
    <w:p w:rsidR="00F73569" w:rsidRPr="00F73569" w:rsidRDefault="00F73569" w:rsidP="00F73569">
      <w:pPr>
        <w:numPr>
          <w:ilvl w:val="0"/>
          <w:numId w:val="4"/>
        </w:numPr>
        <w:contextualSpacing/>
      </w:pPr>
      <w:r w:rsidRPr="00F73569">
        <w:t xml:space="preserve">Clinical Pharmacology: “Vancomycin: For the Treatment of Serious Gram-Positive Infections, Including Lower Respiratory Tract Infections Such as Pneumonia, Community-Acquired Pneumonia (CAP), Nosocomial Pneumonia, and Pleural Empyema:” Clinical Pharmacology, Elsevier, 2019, </w:t>
      </w:r>
      <w:hyperlink r:id="rId10" w:history="1">
        <w:r w:rsidRPr="00F73569">
          <w:rPr>
            <w:color w:val="0563C1" w:themeColor="hyperlink"/>
            <w:u w:val="single"/>
          </w:rPr>
          <w:t>http://www.clinicalpharmacology-ip.com/Forms/Monograph/monograph.aspx?cpnum=638&amp;sec=monindi&amp;t=0</w:t>
        </w:r>
      </w:hyperlink>
      <w:r w:rsidRPr="00F73569">
        <w:t>.</w:t>
      </w:r>
    </w:p>
    <w:p w:rsidR="00F73569" w:rsidRPr="00F73569" w:rsidRDefault="00F73569" w:rsidP="00F73569">
      <w:pPr>
        <w:numPr>
          <w:ilvl w:val="0"/>
          <w:numId w:val="4"/>
        </w:numPr>
        <w:contextualSpacing/>
      </w:pPr>
      <w:proofErr w:type="spellStart"/>
      <w:r w:rsidRPr="00F73569">
        <w:t>Cupp</w:t>
      </w:r>
      <w:proofErr w:type="spellEnd"/>
      <w:r w:rsidRPr="00F73569">
        <w:t>, Melanie. “Treatment of Community-Acquired Pneumonia in Adults.” </w:t>
      </w:r>
      <w:r w:rsidRPr="00F73569">
        <w:rPr>
          <w:i/>
          <w:iCs/>
        </w:rPr>
        <w:t>Pharmacist's Letter</w:t>
      </w:r>
      <w:r w:rsidRPr="00F73569">
        <w:t>, Therapeutic Research Center, Dec. 2013, pharmacist.therapeuticresearch.com/Content/Segments/PRL/2013/Dec/Treatment-of-Community-Acquired-Pneumonia-in-Adults-6366.</w:t>
      </w:r>
    </w:p>
    <w:p w:rsidR="00F73569" w:rsidRPr="00F73569" w:rsidRDefault="00F73569" w:rsidP="00F73569">
      <w:pPr>
        <w:numPr>
          <w:ilvl w:val="0"/>
          <w:numId w:val="4"/>
        </w:numPr>
        <w:contextualSpacing/>
      </w:pPr>
      <w:r w:rsidRPr="00F73569">
        <w:t>Intermountain Healthcare, Care Process Model:” DIAGNOSIS AND MANAGEMENT OF Community-Acquired Pneumonia (CAP)”. Aug. 2016, Accessed 6 Mar. 2019.</w:t>
      </w:r>
    </w:p>
    <w:p w:rsidR="00F73569" w:rsidRPr="00F73569" w:rsidRDefault="00F73569" w:rsidP="00F73569">
      <w:pPr>
        <w:ind w:left="720"/>
        <w:contextualSpacing/>
      </w:pPr>
      <w:hyperlink r:id="rId11" w:history="1">
        <w:r w:rsidRPr="00F73569">
          <w:rPr>
            <w:color w:val="0563C1" w:themeColor="hyperlink"/>
            <w:u w:val="single"/>
          </w:rPr>
          <w:t>https://intermountainhealthcare.org/ext/Dcmnt?ncid=520102603</w:t>
        </w:r>
      </w:hyperlink>
      <w:r w:rsidRPr="00F73569">
        <w:t xml:space="preserve">. </w:t>
      </w:r>
    </w:p>
    <w:p w:rsidR="00F73569" w:rsidRPr="00F73569" w:rsidRDefault="00F73569" w:rsidP="00F73569">
      <w:pPr>
        <w:numPr>
          <w:ilvl w:val="0"/>
          <w:numId w:val="4"/>
        </w:numPr>
        <w:contextualSpacing/>
      </w:pPr>
      <w:proofErr w:type="spellStart"/>
      <w:r w:rsidRPr="00F73569">
        <w:t>Metlay</w:t>
      </w:r>
      <w:proofErr w:type="spellEnd"/>
      <w:r w:rsidRPr="00F73569">
        <w:t xml:space="preserve">, Joshua P., et al. “Diagnosis and Treatment of Adults with Community-Acquired Pneumonia </w:t>
      </w:r>
      <w:proofErr w:type="gramStart"/>
      <w:r w:rsidRPr="00F73569">
        <w:t>An</w:t>
      </w:r>
      <w:proofErr w:type="gramEnd"/>
      <w:r w:rsidRPr="00F73569">
        <w:t xml:space="preserve"> Official Clinical Practice Guideline of the American Thoracic Society and Infectious Diseases Society of America.” </w:t>
      </w:r>
      <w:r w:rsidRPr="00F73569">
        <w:rPr>
          <w:i/>
          <w:iCs/>
        </w:rPr>
        <w:t>Diagnosis and Treatment of Adults with Community-Acquired Pneumonia. An Official Clinical Practice Guideline of the American Thoracic Society and Infectious Diseases Society of America</w:t>
      </w:r>
      <w:r w:rsidRPr="00F73569">
        <w:t xml:space="preserve">, AMERICAN THORACIC SOCIETY, 1 Oct. 2019, www.idsociety.org/practice-guideline/community-acquired-pneumonia-cap-in-adults/.Sluijs, </w:t>
      </w:r>
      <w:proofErr w:type="spellStart"/>
      <w:r w:rsidRPr="00F73569">
        <w:t>Koenraad</w:t>
      </w:r>
      <w:proofErr w:type="spellEnd"/>
      <w:r w:rsidRPr="00F73569">
        <w:t xml:space="preserve">, et al. “Bench-to-Bedside Review: Bacterial Pneumonia with Influenza - Pathogenesis and Clinical Implications.” Critical Care, vol. 14, no. 2, 2010, p. </w:t>
      </w:r>
      <w:proofErr w:type="gramStart"/>
      <w:r w:rsidRPr="00F73569">
        <w:t>219.,</w:t>
      </w:r>
      <w:proofErr w:type="gramEnd"/>
      <w:r w:rsidRPr="00F73569">
        <w:t xml:space="preserve"> doi:10.1186/cc8893.</w:t>
      </w:r>
    </w:p>
    <w:p w:rsidR="00F73569" w:rsidRPr="00F73569" w:rsidRDefault="00F73569" w:rsidP="00F73569">
      <w:pPr>
        <w:numPr>
          <w:ilvl w:val="0"/>
          <w:numId w:val="4"/>
        </w:numPr>
        <w:contextualSpacing/>
      </w:pPr>
      <w:proofErr w:type="spellStart"/>
      <w:r w:rsidRPr="00F73569">
        <w:t>Zasowski</w:t>
      </w:r>
      <w:proofErr w:type="spellEnd"/>
      <w:r w:rsidRPr="00F73569">
        <w:t xml:space="preserve">, Evan J. “LOWER RESPIRATORY TRACT INFECTIONS”. 2019 Infectious Diseases Pharmacy Preparatory Review and Recertification Course - Antimicrobial Stewardship, Upper Respiratory Tract Infections, and Lower Respiratory Tract Infections, American College of Clinical Pharmacy, 2019, </w:t>
      </w:r>
      <w:hyperlink r:id="rId12" w:history="1">
        <w:r w:rsidRPr="00F73569">
          <w:rPr>
            <w:color w:val="0563C1" w:themeColor="hyperlink"/>
            <w:u w:val="single"/>
          </w:rPr>
          <w:t>https://www.accp.com/media/idpc19/Workbooks/ID_RC_Lower_Resp_Workbook_T199159_FINAL.pdf</w:t>
        </w:r>
      </w:hyperlink>
      <w:r w:rsidRPr="00F73569">
        <w:t>.</w:t>
      </w:r>
    </w:p>
    <w:p w:rsidR="00371468" w:rsidRDefault="00144F21"/>
    <w:sectPr w:rsidR="0037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785"/>
    <w:multiLevelType w:val="hybridMultilevel"/>
    <w:tmpl w:val="20BC3458"/>
    <w:lvl w:ilvl="0" w:tplc="374A7056">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43D24"/>
    <w:multiLevelType w:val="hybridMultilevel"/>
    <w:tmpl w:val="A104B1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34F77"/>
    <w:multiLevelType w:val="hybridMultilevel"/>
    <w:tmpl w:val="392A6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A195F"/>
    <w:multiLevelType w:val="hybridMultilevel"/>
    <w:tmpl w:val="678CF1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7D37B4"/>
    <w:multiLevelType w:val="hybridMultilevel"/>
    <w:tmpl w:val="0E0E9108"/>
    <w:lvl w:ilvl="0" w:tplc="374A7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41170"/>
    <w:multiLevelType w:val="hybridMultilevel"/>
    <w:tmpl w:val="F3B40012"/>
    <w:lvl w:ilvl="0" w:tplc="EC8EB8BA">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7243A"/>
    <w:multiLevelType w:val="hybridMultilevel"/>
    <w:tmpl w:val="176E41AC"/>
    <w:lvl w:ilvl="0" w:tplc="374A7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935EC"/>
    <w:multiLevelType w:val="hybridMultilevel"/>
    <w:tmpl w:val="12E2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69"/>
    <w:rsid w:val="00144F21"/>
    <w:rsid w:val="004A2444"/>
    <w:rsid w:val="005B6803"/>
    <w:rsid w:val="006018E7"/>
    <w:rsid w:val="00820FF5"/>
    <w:rsid w:val="00F7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F7FF4-2295-4103-A6A6-425BB673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69"/>
    <w:rPr>
      <w:color w:val="0563C1" w:themeColor="hyperlink"/>
      <w:u w:val="single"/>
    </w:rPr>
  </w:style>
  <w:style w:type="paragraph" w:styleId="ListParagraph">
    <w:name w:val="List Paragraph"/>
    <w:basedOn w:val="Normal"/>
    <w:uiPriority w:val="34"/>
    <w:qFormat/>
    <w:rsid w:val="00F73569"/>
    <w:pPr>
      <w:ind w:left="720"/>
      <w:contextualSpacing/>
    </w:pPr>
  </w:style>
  <w:style w:type="character" w:styleId="FollowedHyperlink">
    <w:name w:val="FollowedHyperlink"/>
    <w:basedOn w:val="DefaultParagraphFont"/>
    <w:uiPriority w:val="99"/>
    <w:semiHidden/>
    <w:unhideWhenUsed/>
    <w:rsid w:val="005B68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pharmacology-ip.com/Forms/Monograph/monograph.aspx?cpnum=2340&amp;sec=monindi&amp;t=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nicalpharmacology-ip.com/Forms/Monograph/monograph.aspx?cpnum=99&amp;sec=monindi&amp;t=0" TargetMode="External"/><Relationship Id="rId12" Type="http://schemas.openxmlformats.org/officeDocument/2006/relationships/hyperlink" Target="https://www.accp.com/media/idpc19/Workbooks/ID_RC_Lower_Resp_Workbook_T199159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calc.com/curb-65-score-pneumonia-severity" TargetMode="External"/><Relationship Id="rId11" Type="http://schemas.openxmlformats.org/officeDocument/2006/relationships/hyperlink" Target="https://intermountainhealthcare.org/ext/Dcmnt?ncid=520102603" TargetMode="External"/><Relationship Id="rId5" Type="http://schemas.openxmlformats.org/officeDocument/2006/relationships/hyperlink" Target="https://www.mdcalc.com/psi-port-score-pneumonia-severity-index-cap" TargetMode="External"/><Relationship Id="rId10" Type="http://schemas.openxmlformats.org/officeDocument/2006/relationships/hyperlink" Target="http://www.clinicalpharmacology-ip.com/Forms/Monograph/monograph.aspx?cpnum=638&amp;sec=monindi&amp;t=0" TargetMode="External"/><Relationship Id="rId4" Type="http://schemas.openxmlformats.org/officeDocument/2006/relationships/webSettings" Target="webSettings.xml"/><Relationship Id="rId9" Type="http://schemas.openxmlformats.org/officeDocument/2006/relationships/hyperlink" Target="http://www.clinicalpharmacology-ip.com/Forms/Monograph/monograph.aspx?cpnum=491&amp;sec=monindi&amp;t=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GMC</Company>
  <LinksUpToDate>false</LinksUpToDate>
  <CharactersWithSpaces>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RXX_DH1</dc:creator>
  <cp:keywords/>
  <dc:description/>
  <cp:lastModifiedBy>RXX_DH1</cp:lastModifiedBy>
  <cp:revision>2</cp:revision>
  <dcterms:created xsi:type="dcterms:W3CDTF">2020-01-30T03:03:00Z</dcterms:created>
  <dcterms:modified xsi:type="dcterms:W3CDTF">2020-01-30T03:03:00Z</dcterms:modified>
</cp:coreProperties>
</file>